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98CF0" w14:textId="77777777" w:rsidR="00185435" w:rsidRDefault="00185435" w:rsidP="0018543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Київський національний університет імені Тараса Шевченка</w:t>
      </w:r>
    </w:p>
    <w:p w14:paraId="46E0C215" w14:textId="77777777" w:rsidR="00185435" w:rsidRDefault="00185435" w:rsidP="0018543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Географічний факультет</w:t>
      </w:r>
    </w:p>
    <w:p w14:paraId="378272E0" w14:textId="77777777" w:rsidR="00185435" w:rsidRDefault="00185435" w:rsidP="0018543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фізичної географії та геоекології </w:t>
      </w:r>
    </w:p>
    <w:p w14:paraId="227DCDA6" w14:textId="77777777" w:rsidR="00185435" w:rsidRDefault="00185435" w:rsidP="00185435">
      <w:pPr>
        <w:jc w:val="right"/>
      </w:pPr>
    </w:p>
    <w:p w14:paraId="4F471DB7" w14:textId="77777777" w:rsidR="00185435" w:rsidRDefault="00185435" w:rsidP="00185435">
      <w:pPr>
        <w:jc w:val="right"/>
      </w:pPr>
    </w:p>
    <w:p w14:paraId="764BC919" w14:textId="77777777" w:rsidR="00185435" w:rsidRDefault="00185435" w:rsidP="00185435">
      <w:pPr>
        <w:jc w:val="right"/>
        <w:rPr>
          <w:rFonts w:ascii="Times New Roman" w:hAnsi="Times New Roman" w:cs="Times New Roman"/>
          <w:sz w:val="28"/>
          <w:szCs w:val="28"/>
        </w:rPr>
      </w:pPr>
      <w:r>
        <w:rPr>
          <w:rFonts w:ascii="Times New Roman" w:hAnsi="Times New Roman" w:cs="Times New Roman"/>
          <w:sz w:val="28"/>
          <w:szCs w:val="28"/>
        </w:rPr>
        <w:t>На правах рукопису</w:t>
      </w:r>
    </w:p>
    <w:p w14:paraId="546EB932" w14:textId="77777777" w:rsidR="00185435" w:rsidRDefault="00185435" w:rsidP="00185435">
      <w:pPr>
        <w:rPr>
          <w:rFonts w:ascii="Times New Roman" w:hAnsi="Times New Roman" w:cs="Times New Roman"/>
          <w:sz w:val="28"/>
          <w:szCs w:val="28"/>
        </w:rPr>
      </w:pPr>
      <w:r>
        <w:rPr>
          <w:rFonts w:ascii="Times New Roman" w:hAnsi="Times New Roman" w:cs="Times New Roman"/>
          <w:sz w:val="28"/>
          <w:szCs w:val="28"/>
        </w:rPr>
        <w:t xml:space="preserve">УДК </w:t>
      </w:r>
      <w:r w:rsidRPr="00C948AA">
        <w:rPr>
          <w:rFonts w:ascii="Times New Roman" w:hAnsi="Times New Roman" w:cs="Times New Roman"/>
          <w:sz w:val="28"/>
          <w:szCs w:val="28"/>
        </w:rPr>
        <w:t>502.17:711.2](477.83)</w:t>
      </w:r>
    </w:p>
    <w:p w14:paraId="36C38968" w14:textId="77777777" w:rsidR="00185435" w:rsidRDefault="00185435" w:rsidP="00185435">
      <w:pPr>
        <w:jc w:val="right"/>
        <w:rPr>
          <w:rFonts w:ascii="Times New Roman" w:hAnsi="Times New Roman" w:cs="Times New Roman"/>
          <w:sz w:val="28"/>
          <w:szCs w:val="28"/>
        </w:rPr>
      </w:pPr>
    </w:p>
    <w:p w14:paraId="400324E8" w14:textId="691579E4" w:rsidR="00185435" w:rsidRPr="00C948AA" w:rsidRDefault="00156287" w:rsidP="00185435">
      <w:pPr>
        <w:jc w:val="center"/>
        <w:rPr>
          <w:rFonts w:ascii="Times New Roman" w:hAnsi="Times New Roman" w:cs="Times New Roman"/>
          <w:b/>
          <w:bCs/>
          <w:caps/>
          <w:sz w:val="28"/>
          <w:szCs w:val="28"/>
        </w:rPr>
      </w:pPr>
      <w:r w:rsidRPr="00156287">
        <w:rPr>
          <w:rFonts w:ascii="Times New Roman" w:hAnsi="Times New Roman" w:cs="Times New Roman"/>
          <w:b/>
          <w:bCs/>
          <w:caps/>
          <w:sz w:val="28"/>
          <w:szCs w:val="28"/>
        </w:rPr>
        <w:t xml:space="preserve">Геоекологічне моделювання енергетичного симбіозу центрів обробки даних та міських територій на основі алгоритмів просторової оптимізації </w:t>
      </w:r>
      <w:r>
        <w:rPr>
          <w:rFonts w:ascii="Times New Roman" w:hAnsi="Times New Roman" w:cs="Times New Roman"/>
          <w:b/>
          <w:bCs/>
          <w:caps/>
          <w:sz w:val="28"/>
          <w:szCs w:val="28"/>
        </w:rPr>
        <w:br/>
      </w:r>
      <w:r>
        <w:rPr>
          <w:rFonts w:ascii="Times New Roman" w:hAnsi="Times New Roman" w:cs="Times New Roman"/>
          <w:b/>
          <w:bCs/>
          <w:caps/>
          <w:sz w:val="28"/>
          <w:szCs w:val="28"/>
        </w:rPr>
        <w:br/>
      </w:r>
      <w:r w:rsidR="006C0FCD" w:rsidRPr="006C0FCD">
        <w:rPr>
          <w:rFonts w:ascii="Times New Roman" w:hAnsi="Times New Roman" w:cs="Times New Roman"/>
          <w:b/>
          <w:bCs/>
          <w:caps/>
          <w:sz w:val="28"/>
          <w:szCs w:val="28"/>
        </w:rPr>
        <w:t>Geo-ecological Modeling of Energy Symbiosis between Data Centers and Urban Environments:</w:t>
      </w:r>
      <w:r w:rsidR="006C0FCD">
        <w:rPr>
          <w:rFonts w:ascii="Times New Roman" w:hAnsi="Times New Roman" w:cs="Times New Roman"/>
          <w:b/>
          <w:bCs/>
          <w:caps/>
          <w:sz w:val="28"/>
          <w:szCs w:val="28"/>
        </w:rPr>
        <w:br/>
      </w:r>
      <w:r w:rsidR="006C0FCD" w:rsidRPr="006C0FCD">
        <w:rPr>
          <w:rFonts w:ascii="Times New Roman" w:hAnsi="Times New Roman" w:cs="Times New Roman"/>
          <w:b/>
          <w:bCs/>
          <w:caps/>
          <w:sz w:val="28"/>
          <w:szCs w:val="28"/>
        </w:rPr>
        <w:t xml:space="preserve"> A Spatial Optimization Approach</w:t>
      </w:r>
    </w:p>
    <w:p w14:paraId="53ABBAE3" w14:textId="77777777" w:rsidR="00185435" w:rsidRPr="008C3479" w:rsidRDefault="00185435" w:rsidP="00185435">
      <w:pPr>
        <w:rPr>
          <w:rFonts w:ascii="Times New Roman" w:hAnsi="Times New Roman" w:cs="Times New Roman"/>
        </w:rPr>
      </w:pPr>
    </w:p>
    <w:p w14:paraId="7E2D71CD" w14:textId="77777777" w:rsidR="00185435" w:rsidRPr="008C3479" w:rsidRDefault="00185435" w:rsidP="00185435">
      <w:pPr>
        <w:rPr>
          <w:rFonts w:ascii="Times New Roman" w:hAnsi="Times New Roman" w:cs="Times New Roman"/>
          <w:sz w:val="28"/>
          <w:szCs w:val="28"/>
        </w:rPr>
      </w:pPr>
      <w:r w:rsidRPr="008C3479">
        <w:rPr>
          <w:rFonts w:ascii="Times New Roman" w:hAnsi="Times New Roman" w:cs="Times New Roman"/>
          <w:sz w:val="28"/>
          <w:szCs w:val="28"/>
        </w:rPr>
        <w:t>Галузь знань</w:t>
      </w:r>
      <w:r w:rsidRPr="008C3479">
        <w:rPr>
          <w:rFonts w:ascii="Times New Roman" w:hAnsi="Times New Roman" w:cs="Times New Roman"/>
          <w:sz w:val="28"/>
          <w:szCs w:val="28"/>
        </w:rPr>
        <w:tab/>
      </w:r>
      <w:r w:rsidRPr="008C3479">
        <w:rPr>
          <w:rFonts w:ascii="Times New Roman" w:hAnsi="Times New Roman" w:cs="Times New Roman"/>
          <w:b/>
          <w:bCs/>
          <w:sz w:val="28"/>
          <w:szCs w:val="28"/>
        </w:rPr>
        <w:t>10 – природничі науки</w:t>
      </w:r>
    </w:p>
    <w:p w14:paraId="3073AF6C" w14:textId="77777777" w:rsidR="00185435" w:rsidRDefault="00185435" w:rsidP="00185435">
      <w:pPr>
        <w:rPr>
          <w:rFonts w:ascii="Times New Roman" w:hAnsi="Times New Roman" w:cs="Times New Roman"/>
          <w:sz w:val="28"/>
          <w:szCs w:val="28"/>
        </w:rPr>
      </w:pPr>
      <w:r w:rsidRPr="008C3479">
        <w:rPr>
          <w:rFonts w:ascii="Times New Roman" w:hAnsi="Times New Roman" w:cs="Times New Roman"/>
          <w:sz w:val="28"/>
          <w:szCs w:val="28"/>
        </w:rPr>
        <w:t>Спеціальність</w:t>
      </w:r>
      <w:r w:rsidRPr="008C3479">
        <w:rPr>
          <w:rFonts w:ascii="Times New Roman" w:hAnsi="Times New Roman" w:cs="Times New Roman"/>
          <w:sz w:val="28"/>
          <w:szCs w:val="28"/>
        </w:rPr>
        <w:tab/>
      </w:r>
      <w:r w:rsidRPr="008C3479">
        <w:rPr>
          <w:rFonts w:ascii="Times New Roman" w:hAnsi="Times New Roman" w:cs="Times New Roman"/>
          <w:b/>
          <w:bCs/>
          <w:sz w:val="28"/>
          <w:szCs w:val="28"/>
        </w:rPr>
        <w:t>106 – Географія</w:t>
      </w:r>
    </w:p>
    <w:p w14:paraId="611D9614" w14:textId="77777777" w:rsidR="00185435" w:rsidRDefault="00185435" w:rsidP="00185435">
      <w:pPr>
        <w:rPr>
          <w:rFonts w:ascii="Times New Roman" w:hAnsi="Times New Roman" w:cs="Times New Roman"/>
          <w:b/>
          <w:bCs/>
          <w:sz w:val="28"/>
          <w:szCs w:val="28"/>
        </w:rPr>
      </w:pPr>
      <w:r>
        <w:rPr>
          <w:rFonts w:ascii="Times New Roman" w:hAnsi="Times New Roman" w:cs="Times New Roman"/>
          <w:sz w:val="28"/>
          <w:szCs w:val="28"/>
        </w:rPr>
        <w:t>Освітня програма</w:t>
      </w:r>
      <w:r>
        <w:rPr>
          <w:rFonts w:ascii="Times New Roman" w:hAnsi="Times New Roman" w:cs="Times New Roman"/>
          <w:sz w:val="28"/>
          <w:szCs w:val="28"/>
        </w:rPr>
        <w:tab/>
      </w:r>
      <w:r>
        <w:rPr>
          <w:rFonts w:ascii="Times New Roman" w:hAnsi="Times New Roman" w:cs="Times New Roman"/>
          <w:sz w:val="28"/>
          <w:szCs w:val="28"/>
        </w:rPr>
        <w:tab/>
      </w:r>
      <w:r w:rsidRPr="008C3479">
        <w:rPr>
          <w:rFonts w:ascii="Times New Roman" w:hAnsi="Times New Roman" w:cs="Times New Roman"/>
          <w:b/>
          <w:bCs/>
          <w:sz w:val="28"/>
          <w:szCs w:val="28"/>
        </w:rPr>
        <w:t>Транскордонне екологічне співробітництво</w:t>
      </w:r>
    </w:p>
    <w:p w14:paraId="471360EC" w14:textId="77777777" w:rsidR="00185435" w:rsidRDefault="00185435" w:rsidP="00185435">
      <w:pPr>
        <w:rPr>
          <w:rFonts w:ascii="Times New Roman" w:hAnsi="Times New Roman" w:cs="Times New Roman"/>
          <w:b/>
          <w:bCs/>
          <w:sz w:val="28"/>
          <w:szCs w:val="28"/>
        </w:rPr>
      </w:pPr>
    </w:p>
    <w:p w14:paraId="4D7A078A" w14:textId="77777777" w:rsidR="00185435" w:rsidRPr="008C3479" w:rsidRDefault="00185435" w:rsidP="00185435">
      <w:pPr>
        <w:pStyle w:val="af"/>
        <w:jc w:val="right"/>
        <w:rPr>
          <w:rFonts w:ascii="Times New Roman" w:hAnsi="Times New Roman" w:cs="Times New Roman"/>
          <w:sz w:val="28"/>
          <w:szCs w:val="28"/>
        </w:rPr>
      </w:pPr>
    </w:p>
    <w:p w14:paraId="5D800FC0" w14:textId="77777777" w:rsidR="00185435" w:rsidRPr="008C3479" w:rsidRDefault="00185435" w:rsidP="00185435">
      <w:pPr>
        <w:pStyle w:val="af"/>
        <w:jc w:val="right"/>
        <w:rPr>
          <w:rFonts w:ascii="Times New Roman" w:hAnsi="Times New Roman" w:cs="Times New Roman"/>
          <w:sz w:val="28"/>
          <w:szCs w:val="28"/>
        </w:rPr>
      </w:pPr>
      <w:r w:rsidRPr="008C3479">
        <w:rPr>
          <w:rFonts w:ascii="Times New Roman" w:hAnsi="Times New Roman" w:cs="Times New Roman"/>
          <w:sz w:val="28"/>
          <w:szCs w:val="28"/>
        </w:rPr>
        <w:t>Кваліфікаційна робота бакалавра</w:t>
      </w:r>
    </w:p>
    <w:p w14:paraId="14E911B1" w14:textId="77E15838" w:rsidR="00185435" w:rsidRPr="008C3479" w:rsidRDefault="00185435" w:rsidP="00185435">
      <w:pPr>
        <w:pStyle w:val="af"/>
        <w:jc w:val="right"/>
        <w:rPr>
          <w:rFonts w:ascii="Times New Roman" w:hAnsi="Times New Roman" w:cs="Times New Roman"/>
          <w:sz w:val="28"/>
          <w:szCs w:val="28"/>
        </w:rPr>
      </w:pPr>
      <w:r>
        <w:rPr>
          <w:rFonts w:ascii="Times New Roman" w:hAnsi="Times New Roman" w:cs="Times New Roman"/>
          <w:sz w:val="28"/>
          <w:szCs w:val="28"/>
        </w:rPr>
        <w:t>с</w:t>
      </w:r>
      <w:r w:rsidRPr="008C3479">
        <w:rPr>
          <w:rFonts w:ascii="Times New Roman" w:hAnsi="Times New Roman" w:cs="Times New Roman"/>
          <w:sz w:val="28"/>
          <w:szCs w:val="28"/>
        </w:rPr>
        <w:t>тудент</w:t>
      </w:r>
      <w:r w:rsidR="00153F17">
        <w:rPr>
          <w:rFonts w:ascii="Times New Roman" w:hAnsi="Times New Roman" w:cs="Times New Roman"/>
          <w:sz w:val="28"/>
          <w:szCs w:val="28"/>
        </w:rPr>
        <w:t>а</w:t>
      </w:r>
      <w:r w:rsidRPr="008C3479">
        <w:rPr>
          <w:rFonts w:ascii="Times New Roman" w:hAnsi="Times New Roman" w:cs="Times New Roman"/>
          <w:sz w:val="28"/>
          <w:szCs w:val="28"/>
        </w:rPr>
        <w:t xml:space="preserve"> 4 курсу</w:t>
      </w:r>
    </w:p>
    <w:p w14:paraId="4C587E14" w14:textId="1B7C4389" w:rsidR="00185435" w:rsidRDefault="00153F17" w:rsidP="00185435">
      <w:pPr>
        <w:pStyle w:val="af"/>
        <w:jc w:val="right"/>
        <w:rPr>
          <w:rFonts w:ascii="Times New Roman" w:hAnsi="Times New Roman" w:cs="Times New Roman"/>
          <w:sz w:val="28"/>
          <w:szCs w:val="28"/>
        </w:rPr>
      </w:pPr>
      <w:r>
        <w:rPr>
          <w:rFonts w:ascii="Times New Roman" w:hAnsi="Times New Roman" w:cs="Times New Roman"/>
          <w:sz w:val="28"/>
          <w:szCs w:val="28"/>
        </w:rPr>
        <w:t>Шаш</w:t>
      </w:r>
      <w:r w:rsidR="00185435" w:rsidRPr="008C3479">
        <w:rPr>
          <w:rFonts w:ascii="Times New Roman" w:hAnsi="Times New Roman" w:cs="Times New Roman"/>
          <w:sz w:val="28"/>
          <w:szCs w:val="28"/>
        </w:rPr>
        <w:t xml:space="preserve">енко </w:t>
      </w:r>
      <w:r>
        <w:rPr>
          <w:rFonts w:ascii="Times New Roman" w:hAnsi="Times New Roman" w:cs="Times New Roman"/>
          <w:sz w:val="28"/>
          <w:szCs w:val="28"/>
        </w:rPr>
        <w:t>Дмитра</w:t>
      </w:r>
      <w:r w:rsidR="00185435" w:rsidRPr="008C3479">
        <w:rPr>
          <w:rFonts w:ascii="Times New Roman" w:hAnsi="Times New Roman" w:cs="Times New Roman"/>
          <w:sz w:val="28"/>
          <w:szCs w:val="28"/>
        </w:rPr>
        <w:t xml:space="preserve"> </w:t>
      </w:r>
      <w:r>
        <w:rPr>
          <w:rFonts w:ascii="Times New Roman" w:hAnsi="Times New Roman" w:cs="Times New Roman"/>
          <w:sz w:val="28"/>
          <w:szCs w:val="28"/>
        </w:rPr>
        <w:t>Володимировича</w:t>
      </w:r>
    </w:p>
    <w:p w14:paraId="79E9A9BE" w14:textId="77777777" w:rsidR="00185435" w:rsidRDefault="00185435" w:rsidP="00185435">
      <w:pPr>
        <w:pStyle w:val="af"/>
        <w:jc w:val="right"/>
        <w:rPr>
          <w:rFonts w:ascii="Times New Roman" w:hAnsi="Times New Roman" w:cs="Times New Roman"/>
          <w:sz w:val="28"/>
          <w:szCs w:val="28"/>
        </w:rPr>
      </w:pPr>
    </w:p>
    <w:p w14:paraId="1421CE1F" w14:textId="77777777" w:rsidR="00185435" w:rsidRDefault="00185435" w:rsidP="00185435">
      <w:pPr>
        <w:pStyle w:val="af"/>
        <w:jc w:val="right"/>
        <w:rPr>
          <w:rFonts w:ascii="Times New Roman" w:hAnsi="Times New Roman" w:cs="Times New Roman"/>
          <w:sz w:val="28"/>
          <w:szCs w:val="28"/>
        </w:rPr>
      </w:pPr>
      <w:r>
        <w:rPr>
          <w:rFonts w:ascii="Times New Roman" w:hAnsi="Times New Roman" w:cs="Times New Roman"/>
          <w:sz w:val="28"/>
          <w:szCs w:val="28"/>
        </w:rPr>
        <w:t>Науковий керівник</w:t>
      </w:r>
    </w:p>
    <w:p w14:paraId="6FED248B" w14:textId="77777777" w:rsidR="00185435" w:rsidRDefault="00185435" w:rsidP="00185435">
      <w:pPr>
        <w:pStyle w:val="af"/>
        <w:jc w:val="right"/>
        <w:rPr>
          <w:rFonts w:ascii="Times New Roman" w:hAnsi="Times New Roman" w:cs="Times New Roman"/>
          <w:sz w:val="28"/>
          <w:szCs w:val="28"/>
        </w:rPr>
      </w:pPr>
      <w:r>
        <w:rPr>
          <w:rFonts w:ascii="Times New Roman" w:hAnsi="Times New Roman" w:cs="Times New Roman"/>
          <w:sz w:val="28"/>
          <w:szCs w:val="28"/>
        </w:rPr>
        <w:t xml:space="preserve">Доцент кафедри фізичної географії та геоекології, </w:t>
      </w:r>
    </w:p>
    <w:p w14:paraId="4D2A874A" w14:textId="330379C2" w:rsidR="00185435" w:rsidRPr="008C3479" w:rsidRDefault="00721886" w:rsidP="00185435">
      <w:pPr>
        <w:pStyle w:val="af"/>
        <w:jc w:val="right"/>
        <w:rPr>
          <w:rFonts w:ascii="Times New Roman" w:hAnsi="Times New Roman" w:cs="Times New Roman"/>
          <w:sz w:val="28"/>
          <w:szCs w:val="28"/>
        </w:rPr>
      </w:pPr>
      <w:r w:rsidRPr="00721886">
        <w:rPr>
          <w:rFonts w:ascii="Times New Roman" w:hAnsi="Times New Roman" w:cs="Times New Roman"/>
          <w:sz w:val="28"/>
          <w:szCs w:val="28"/>
        </w:rPr>
        <w:t>доктор економічних наук, доцент</w:t>
      </w:r>
      <w:r>
        <w:rPr>
          <w:rFonts w:ascii="Times New Roman" w:hAnsi="Times New Roman" w:cs="Times New Roman"/>
          <w:sz w:val="28"/>
          <w:szCs w:val="28"/>
        </w:rPr>
        <w:br/>
      </w:r>
      <w:r w:rsidR="00F54721">
        <w:rPr>
          <w:rFonts w:ascii="Times New Roman" w:hAnsi="Times New Roman" w:cs="Times New Roman"/>
          <w:sz w:val="28"/>
          <w:szCs w:val="28"/>
        </w:rPr>
        <w:t>Кошель</w:t>
      </w:r>
      <w:r w:rsidR="00185435">
        <w:rPr>
          <w:rFonts w:ascii="Times New Roman" w:hAnsi="Times New Roman" w:cs="Times New Roman"/>
          <w:sz w:val="28"/>
          <w:szCs w:val="28"/>
        </w:rPr>
        <w:t xml:space="preserve"> </w:t>
      </w:r>
      <w:r w:rsidR="00F54721">
        <w:rPr>
          <w:rFonts w:ascii="Times New Roman" w:hAnsi="Times New Roman" w:cs="Times New Roman"/>
          <w:sz w:val="28"/>
          <w:szCs w:val="28"/>
        </w:rPr>
        <w:t>Антон</w:t>
      </w:r>
      <w:r w:rsidR="00185435">
        <w:rPr>
          <w:rFonts w:ascii="Times New Roman" w:hAnsi="Times New Roman" w:cs="Times New Roman"/>
          <w:sz w:val="28"/>
          <w:szCs w:val="28"/>
        </w:rPr>
        <w:t xml:space="preserve"> </w:t>
      </w:r>
      <w:r w:rsidR="00F54721">
        <w:rPr>
          <w:rFonts w:ascii="Times New Roman" w:hAnsi="Times New Roman" w:cs="Times New Roman"/>
          <w:sz w:val="28"/>
          <w:szCs w:val="28"/>
        </w:rPr>
        <w:t>Олександрович</w:t>
      </w:r>
    </w:p>
    <w:p w14:paraId="7394F187" w14:textId="77777777" w:rsidR="00185435" w:rsidRDefault="00185435" w:rsidP="00185435">
      <w:pPr>
        <w:pStyle w:val="ae"/>
        <w:spacing w:after="0" w:line="360" w:lineRule="auto"/>
        <w:jc w:val="center"/>
        <w:rPr>
          <w:rStyle w:val="citation-160"/>
          <w:b/>
          <w:bCs/>
          <w:color w:val="000000" w:themeColor="text1"/>
          <w:sz w:val="28"/>
          <w:szCs w:val="28"/>
        </w:rPr>
      </w:pPr>
    </w:p>
    <w:p w14:paraId="3402CB78" w14:textId="77777777" w:rsidR="00185435" w:rsidRDefault="00185435" w:rsidP="00185435">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Допущено до захисту   ___   Людмила БІЛОУС</w:t>
      </w:r>
    </w:p>
    <w:p w14:paraId="6A448525" w14:textId="77777777" w:rsidR="00185435" w:rsidRDefault="00185435" w:rsidP="00185435">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 № __  від ____</w:t>
      </w:r>
    </w:p>
    <w:p w14:paraId="0BA62226" w14:textId="77777777" w:rsidR="00DD5A4C" w:rsidRPr="007651C5" w:rsidRDefault="00185435" w:rsidP="00DD5A4C">
      <w:pPr>
        <w:pStyle w:val="af"/>
        <w:spacing w:line="360" w:lineRule="auto"/>
        <w:jc w:val="center"/>
        <w:rPr>
          <w:rStyle w:val="citation-160"/>
          <w:rFonts w:ascii="Times New Roman" w:hAnsi="Times New Roman" w:cs="Times New Roman"/>
          <w:b/>
          <w:bCs/>
          <w:color w:val="000000" w:themeColor="text1"/>
          <w:sz w:val="28"/>
          <w:szCs w:val="28"/>
        </w:rPr>
      </w:pPr>
      <w:r>
        <w:rPr>
          <w:rStyle w:val="citation-160"/>
          <w:b/>
          <w:bCs/>
          <w:color w:val="000000" w:themeColor="text1"/>
          <w:sz w:val="28"/>
          <w:szCs w:val="28"/>
        </w:rPr>
        <w:t>КИЇВ – 2026</w:t>
      </w:r>
      <w:r>
        <w:rPr>
          <w:rStyle w:val="citation-160"/>
          <w:b/>
          <w:bCs/>
          <w:color w:val="000000" w:themeColor="text1"/>
          <w:sz w:val="28"/>
          <w:szCs w:val="28"/>
        </w:rPr>
        <w:br/>
      </w:r>
      <w:r>
        <w:rPr>
          <w:rStyle w:val="citation-160"/>
          <w:b/>
          <w:bCs/>
          <w:color w:val="000000" w:themeColor="text1"/>
          <w:sz w:val="28"/>
          <w:szCs w:val="28"/>
        </w:rPr>
        <w:br/>
      </w:r>
      <w:r w:rsidR="00DD5A4C">
        <w:lastRenderedPageBreak/>
        <w:br/>
      </w:r>
      <w:r w:rsidR="00DD5A4C" w:rsidRPr="007651C5">
        <w:rPr>
          <w:rStyle w:val="citation-160"/>
          <w:rFonts w:ascii="Times New Roman" w:hAnsi="Times New Roman" w:cs="Times New Roman"/>
          <w:b/>
          <w:bCs/>
          <w:color w:val="000000" w:themeColor="text1"/>
          <w:sz w:val="28"/>
          <w:szCs w:val="28"/>
        </w:rPr>
        <w:t>ЗМІСТ</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1"/>
        <w:gridCol w:w="560"/>
        <w:gridCol w:w="588"/>
      </w:tblGrid>
      <w:tr w:rsidR="00460775" w14:paraId="5F0AFA9D" w14:textId="77777777" w:rsidTr="00460775">
        <w:tc>
          <w:tcPr>
            <w:tcW w:w="8491" w:type="dxa"/>
          </w:tcPr>
          <w:p w14:paraId="7F78B6F6" w14:textId="77777777" w:rsidR="00460775" w:rsidRDefault="00460775" w:rsidP="00E65390">
            <w:pPr>
              <w:pStyle w:val="af"/>
              <w:spacing w:line="360" w:lineRule="auto"/>
              <w:jc w:val="both"/>
              <w:rPr>
                <w:rStyle w:val="citation-160"/>
                <w:rFonts w:ascii="Times New Roman" w:hAnsi="Times New Roman" w:cs="Times New Roman"/>
                <w:color w:val="000000" w:themeColor="text1"/>
                <w:sz w:val="28"/>
                <w:szCs w:val="28"/>
              </w:rPr>
            </w:pPr>
            <w:r w:rsidRPr="005606B6">
              <w:rPr>
                <w:rStyle w:val="citation-160"/>
                <w:rFonts w:ascii="Times New Roman" w:hAnsi="Times New Roman" w:cs="Times New Roman"/>
                <w:b/>
                <w:bCs/>
                <w:color w:val="000000" w:themeColor="text1"/>
                <w:sz w:val="28"/>
                <w:szCs w:val="28"/>
              </w:rPr>
              <w:t>ВСТУП</w:t>
            </w:r>
          </w:p>
        </w:tc>
        <w:tc>
          <w:tcPr>
            <w:tcW w:w="560" w:type="dxa"/>
          </w:tcPr>
          <w:p w14:paraId="17B61434" w14:textId="77777777" w:rsidR="00460775" w:rsidRPr="007651C5" w:rsidRDefault="00460775" w:rsidP="00E65390">
            <w:pPr>
              <w:pStyle w:val="af"/>
              <w:spacing w:line="360" w:lineRule="auto"/>
              <w:jc w:val="both"/>
              <w:rPr>
                <w:rStyle w:val="citation-160"/>
                <w:rFonts w:ascii="Times New Roman" w:hAnsi="Times New Roman" w:cs="Times New Roman"/>
                <w:color w:val="000000" w:themeColor="text1"/>
                <w:sz w:val="28"/>
                <w:szCs w:val="28"/>
              </w:rPr>
            </w:pPr>
          </w:p>
        </w:tc>
        <w:tc>
          <w:tcPr>
            <w:tcW w:w="588" w:type="dxa"/>
          </w:tcPr>
          <w:p w14:paraId="550FED2F" w14:textId="47F719BF" w:rsidR="00460775" w:rsidRDefault="00DA7746" w:rsidP="00E65390">
            <w:pPr>
              <w:pStyle w:val="af"/>
              <w:spacing w:line="360" w:lineRule="auto"/>
              <w:jc w:val="both"/>
              <w:rPr>
                <w:rStyle w:val="citation-160"/>
                <w:rFonts w:ascii="Times New Roman" w:hAnsi="Times New Roman" w:cs="Times New Roman"/>
                <w:color w:val="000000" w:themeColor="text1"/>
                <w:sz w:val="28"/>
                <w:szCs w:val="28"/>
              </w:rPr>
            </w:pPr>
            <w:r>
              <w:rPr>
                <w:rStyle w:val="citation-160"/>
                <w:rFonts w:ascii="Times New Roman" w:hAnsi="Times New Roman" w:cs="Times New Roman"/>
                <w:color w:val="000000" w:themeColor="text1"/>
                <w:sz w:val="28"/>
                <w:szCs w:val="28"/>
              </w:rPr>
              <w:t>4</w:t>
            </w:r>
          </w:p>
        </w:tc>
      </w:tr>
      <w:tr w:rsidR="00460775" w14:paraId="7683383F" w14:textId="77777777" w:rsidTr="00460775">
        <w:tc>
          <w:tcPr>
            <w:tcW w:w="8491" w:type="dxa"/>
          </w:tcPr>
          <w:p w14:paraId="433D515F" w14:textId="164ED5A5" w:rsidR="00460775" w:rsidRPr="005606B6" w:rsidRDefault="00460775" w:rsidP="00D5274E">
            <w:pPr>
              <w:pStyle w:val="af"/>
              <w:spacing w:line="360" w:lineRule="auto"/>
              <w:rPr>
                <w:rStyle w:val="citation-160"/>
                <w:rFonts w:ascii="Times New Roman" w:hAnsi="Times New Roman" w:cs="Times New Roman"/>
                <w:caps/>
                <w:color w:val="000000" w:themeColor="text1"/>
                <w:sz w:val="28"/>
                <w:szCs w:val="28"/>
              </w:rPr>
            </w:pPr>
            <w:r w:rsidRPr="005606B6">
              <w:rPr>
                <w:rFonts w:ascii="Times New Roman" w:hAnsi="Times New Roman" w:cs="Times New Roman"/>
                <w:b/>
                <w:bCs/>
                <w:caps/>
                <w:sz w:val="28"/>
                <w:szCs w:val="28"/>
              </w:rPr>
              <w:t xml:space="preserve">РОЗДІЛ 1. </w:t>
            </w:r>
            <w:r w:rsidR="005550E0" w:rsidRPr="005550E0">
              <w:rPr>
                <w:rFonts w:ascii="Times New Roman" w:hAnsi="Times New Roman" w:cs="Times New Roman"/>
                <w:b/>
                <w:bCs/>
                <w:caps/>
                <w:sz w:val="28"/>
                <w:szCs w:val="28"/>
              </w:rPr>
              <w:t>Теоретико-методичні засади функціонування ЦОД в навколишньому середовищі</w:t>
            </w:r>
          </w:p>
        </w:tc>
        <w:tc>
          <w:tcPr>
            <w:tcW w:w="560" w:type="dxa"/>
          </w:tcPr>
          <w:p w14:paraId="608D847D" w14:textId="77777777" w:rsidR="00460775" w:rsidRDefault="00460775" w:rsidP="00E65390">
            <w:pPr>
              <w:pStyle w:val="af"/>
              <w:spacing w:line="360" w:lineRule="auto"/>
              <w:jc w:val="both"/>
              <w:rPr>
                <w:rStyle w:val="citation-160"/>
                <w:rFonts w:ascii="Times New Roman" w:hAnsi="Times New Roman" w:cs="Times New Roman"/>
                <w:color w:val="000000" w:themeColor="text1"/>
                <w:sz w:val="28"/>
                <w:szCs w:val="28"/>
              </w:rPr>
            </w:pPr>
          </w:p>
        </w:tc>
        <w:tc>
          <w:tcPr>
            <w:tcW w:w="588" w:type="dxa"/>
          </w:tcPr>
          <w:p w14:paraId="2267786A" w14:textId="1C2207AF" w:rsidR="00460775" w:rsidRDefault="00460775" w:rsidP="00E65390">
            <w:pPr>
              <w:pStyle w:val="af"/>
              <w:spacing w:line="360" w:lineRule="auto"/>
              <w:jc w:val="both"/>
              <w:rPr>
                <w:rStyle w:val="citation-160"/>
                <w:rFonts w:ascii="Times New Roman" w:hAnsi="Times New Roman" w:cs="Times New Roman"/>
                <w:color w:val="000000" w:themeColor="text1"/>
                <w:sz w:val="28"/>
                <w:szCs w:val="28"/>
              </w:rPr>
            </w:pPr>
            <w:r>
              <w:rPr>
                <w:rStyle w:val="citation-160"/>
                <w:rFonts w:ascii="Times New Roman" w:hAnsi="Times New Roman" w:cs="Times New Roman"/>
                <w:color w:val="000000" w:themeColor="text1"/>
                <w:sz w:val="28"/>
                <w:szCs w:val="28"/>
              </w:rPr>
              <w:t>6</w:t>
            </w:r>
          </w:p>
        </w:tc>
      </w:tr>
      <w:tr w:rsidR="00460775" w14:paraId="1D37CD2D" w14:textId="77777777" w:rsidTr="00460775">
        <w:tc>
          <w:tcPr>
            <w:tcW w:w="8491" w:type="dxa"/>
          </w:tcPr>
          <w:p w14:paraId="2311BC81" w14:textId="6CBA41AD" w:rsidR="00460775" w:rsidRPr="00D009E1" w:rsidRDefault="00460775" w:rsidP="00DC1BBA">
            <w:pPr>
              <w:pStyle w:val="af"/>
              <w:spacing w:line="360" w:lineRule="auto"/>
              <w:rPr>
                <w:rStyle w:val="citation-160"/>
                <w:rFonts w:ascii="Times New Roman" w:hAnsi="Times New Roman" w:cs="Times New Roman"/>
                <w:color w:val="000000" w:themeColor="text1"/>
                <w:sz w:val="28"/>
                <w:szCs w:val="28"/>
              </w:rPr>
            </w:pPr>
            <w:r w:rsidRPr="00D009E1">
              <w:rPr>
                <w:rStyle w:val="citation-160"/>
                <w:rFonts w:ascii="Times New Roman" w:hAnsi="Times New Roman" w:cs="Times New Roman"/>
                <w:color w:val="000000" w:themeColor="text1"/>
                <w:sz w:val="28"/>
                <w:szCs w:val="28"/>
              </w:rPr>
              <w:t xml:space="preserve">1.1 </w:t>
            </w:r>
            <w:r w:rsidR="008116EA" w:rsidRPr="008116EA">
              <w:rPr>
                <w:rFonts w:ascii="Times New Roman" w:hAnsi="Times New Roman" w:cs="Times New Roman"/>
                <w:color w:val="000000" w:themeColor="text1"/>
                <w:sz w:val="28"/>
                <w:szCs w:val="28"/>
              </w:rPr>
              <w:t>Еволюція дата-центрів: від ізольованих об’єктів до вузлів  інфраструктури</w:t>
            </w:r>
          </w:p>
        </w:tc>
        <w:tc>
          <w:tcPr>
            <w:tcW w:w="560" w:type="dxa"/>
          </w:tcPr>
          <w:p w14:paraId="6B8C33B6" w14:textId="77777777" w:rsidR="00460775" w:rsidRDefault="00460775" w:rsidP="00E65390">
            <w:pPr>
              <w:pStyle w:val="af"/>
              <w:spacing w:line="360" w:lineRule="auto"/>
              <w:jc w:val="both"/>
              <w:rPr>
                <w:rStyle w:val="citation-160"/>
                <w:rFonts w:ascii="Times New Roman" w:hAnsi="Times New Roman" w:cs="Times New Roman"/>
                <w:color w:val="000000" w:themeColor="text1"/>
                <w:sz w:val="28"/>
                <w:szCs w:val="28"/>
              </w:rPr>
            </w:pPr>
          </w:p>
        </w:tc>
        <w:tc>
          <w:tcPr>
            <w:tcW w:w="588" w:type="dxa"/>
          </w:tcPr>
          <w:p w14:paraId="7A795ED3" w14:textId="70EDBD83" w:rsidR="00460775" w:rsidRDefault="00460775" w:rsidP="00E65390">
            <w:pPr>
              <w:pStyle w:val="af"/>
              <w:spacing w:line="360" w:lineRule="auto"/>
              <w:jc w:val="both"/>
              <w:rPr>
                <w:rStyle w:val="citation-160"/>
                <w:rFonts w:ascii="Times New Roman" w:hAnsi="Times New Roman" w:cs="Times New Roman"/>
                <w:color w:val="000000" w:themeColor="text1"/>
                <w:sz w:val="28"/>
                <w:szCs w:val="28"/>
              </w:rPr>
            </w:pPr>
            <w:r>
              <w:rPr>
                <w:rStyle w:val="citation-160"/>
                <w:rFonts w:ascii="Times New Roman" w:hAnsi="Times New Roman" w:cs="Times New Roman"/>
                <w:color w:val="000000" w:themeColor="text1"/>
                <w:sz w:val="28"/>
                <w:szCs w:val="28"/>
              </w:rPr>
              <w:t>6</w:t>
            </w:r>
          </w:p>
        </w:tc>
      </w:tr>
      <w:tr w:rsidR="00460775" w14:paraId="4933C62B" w14:textId="77777777" w:rsidTr="00460775">
        <w:tc>
          <w:tcPr>
            <w:tcW w:w="8491" w:type="dxa"/>
          </w:tcPr>
          <w:p w14:paraId="00C6E908" w14:textId="09F4661B" w:rsidR="00460775" w:rsidRPr="000C63BD" w:rsidRDefault="00460775" w:rsidP="005A7D2E">
            <w:pPr>
              <w:pStyle w:val="af"/>
              <w:spacing w:line="360" w:lineRule="auto"/>
              <w:rPr>
                <w:rStyle w:val="citation-160"/>
                <w:rFonts w:ascii="Times New Roman" w:hAnsi="Times New Roman" w:cs="Times New Roman"/>
                <w:color w:val="000000" w:themeColor="text1"/>
                <w:sz w:val="28"/>
                <w:szCs w:val="28"/>
              </w:rPr>
            </w:pPr>
            <w:r w:rsidRPr="007651C5">
              <w:rPr>
                <w:rFonts w:ascii="Times New Roman" w:hAnsi="Times New Roman" w:cs="Times New Roman"/>
                <w:sz w:val="28"/>
                <w:szCs w:val="28"/>
              </w:rPr>
              <w:t xml:space="preserve">1.2 </w:t>
            </w:r>
            <w:r w:rsidR="002B5084" w:rsidRPr="002B5084">
              <w:rPr>
                <w:rFonts w:ascii="Times New Roman" w:hAnsi="Times New Roman" w:cs="Times New Roman"/>
                <w:sz w:val="28"/>
                <w:szCs w:val="28"/>
              </w:rPr>
              <w:t>Концепція «Take-Make-Waste» та виклики лінійної економіки.</w:t>
            </w:r>
          </w:p>
        </w:tc>
        <w:tc>
          <w:tcPr>
            <w:tcW w:w="560" w:type="dxa"/>
          </w:tcPr>
          <w:p w14:paraId="1EE787D2" w14:textId="77777777" w:rsidR="00460775" w:rsidRPr="005606B6" w:rsidRDefault="00460775" w:rsidP="00E65390">
            <w:pPr>
              <w:pStyle w:val="af"/>
              <w:spacing w:line="360" w:lineRule="auto"/>
              <w:jc w:val="both"/>
              <w:rPr>
                <w:rStyle w:val="citation-160"/>
                <w:rFonts w:ascii="Times New Roman" w:hAnsi="Times New Roman" w:cs="Times New Roman"/>
                <w:color w:val="000000" w:themeColor="text1"/>
                <w:sz w:val="28"/>
                <w:szCs w:val="28"/>
              </w:rPr>
            </w:pPr>
          </w:p>
        </w:tc>
        <w:tc>
          <w:tcPr>
            <w:tcW w:w="588" w:type="dxa"/>
          </w:tcPr>
          <w:p w14:paraId="69E6756D" w14:textId="0FE3CFEB" w:rsidR="00460775" w:rsidRPr="005606B6" w:rsidRDefault="0000583E" w:rsidP="00E65390">
            <w:pPr>
              <w:pStyle w:val="af"/>
              <w:spacing w:line="360" w:lineRule="auto"/>
              <w:jc w:val="both"/>
              <w:rPr>
                <w:rStyle w:val="citation-160"/>
                <w:rFonts w:ascii="Times New Roman" w:hAnsi="Times New Roman" w:cs="Times New Roman"/>
                <w:color w:val="000000" w:themeColor="text1"/>
                <w:sz w:val="28"/>
                <w:szCs w:val="28"/>
              </w:rPr>
            </w:pPr>
            <w:r>
              <w:rPr>
                <w:rStyle w:val="citation-160"/>
                <w:rFonts w:ascii="Times New Roman" w:hAnsi="Times New Roman" w:cs="Times New Roman"/>
                <w:color w:val="000000" w:themeColor="text1"/>
                <w:sz w:val="28"/>
                <w:szCs w:val="28"/>
              </w:rPr>
              <w:t>8</w:t>
            </w:r>
          </w:p>
        </w:tc>
      </w:tr>
      <w:tr w:rsidR="00460775" w14:paraId="76DF51DC" w14:textId="77777777" w:rsidTr="00460775">
        <w:tc>
          <w:tcPr>
            <w:tcW w:w="8491" w:type="dxa"/>
          </w:tcPr>
          <w:p w14:paraId="62463051" w14:textId="411411C5" w:rsidR="00460775" w:rsidRDefault="00460775" w:rsidP="00B91C69">
            <w:pPr>
              <w:pStyle w:val="af"/>
              <w:spacing w:line="360" w:lineRule="auto"/>
              <w:rPr>
                <w:rStyle w:val="citation-160"/>
                <w:rFonts w:ascii="Times New Roman" w:hAnsi="Times New Roman" w:cs="Times New Roman"/>
                <w:color w:val="000000" w:themeColor="text1"/>
                <w:sz w:val="28"/>
                <w:szCs w:val="28"/>
              </w:rPr>
            </w:pPr>
            <w:r w:rsidRPr="007651C5">
              <w:rPr>
                <w:rFonts w:ascii="Times New Roman" w:hAnsi="Times New Roman" w:cs="Times New Roman"/>
                <w:sz w:val="28"/>
                <w:szCs w:val="28"/>
              </w:rPr>
              <w:t>1.3</w:t>
            </w:r>
            <w:r>
              <w:rPr>
                <w:rFonts w:ascii="Times New Roman" w:hAnsi="Times New Roman" w:cs="Times New Roman"/>
                <w:sz w:val="28"/>
                <w:szCs w:val="28"/>
              </w:rPr>
              <w:t xml:space="preserve"> Екологічні наслідки та вплив на довкілля </w:t>
            </w:r>
          </w:p>
        </w:tc>
        <w:tc>
          <w:tcPr>
            <w:tcW w:w="560" w:type="dxa"/>
          </w:tcPr>
          <w:p w14:paraId="4B5B23B7" w14:textId="77777777" w:rsidR="00460775" w:rsidRDefault="00460775" w:rsidP="00E65390">
            <w:pPr>
              <w:pStyle w:val="af"/>
              <w:spacing w:line="360" w:lineRule="auto"/>
              <w:jc w:val="both"/>
              <w:rPr>
                <w:rFonts w:ascii="Times New Roman" w:hAnsi="Times New Roman" w:cs="Times New Roman"/>
                <w:sz w:val="28"/>
                <w:szCs w:val="28"/>
              </w:rPr>
            </w:pPr>
          </w:p>
        </w:tc>
        <w:tc>
          <w:tcPr>
            <w:tcW w:w="588" w:type="dxa"/>
          </w:tcPr>
          <w:p w14:paraId="39B88551" w14:textId="001C54C8" w:rsidR="00460775" w:rsidRPr="00367737" w:rsidRDefault="00367737" w:rsidP="00E65390">
            <w:pPr>
              <w:pStyle w:val="af"/>
              <w:spacing w:line="360" w:lineRule="auto"/>
              <w:jc w:val="both"/>
              <w:rPr>
                <w:rStyle w:val="citation-160"/>
                <w:rFonts w:ascii="Times New Roman" w:hAnsi="Times New Roman" w:cs="Times New Roman"/>
                <w:color w:val="000000" w:themeColor="text1"/>
                <w:sz w:val="28"/>
                <w:szCs w:val="28"/>
              </w:rPr>
            </w:pPr>
            <w:r w:rsidRPr="00367737">
              <w:rPr>
                <w:rStyle w:val="citation-160"/>
                <w:rFonts w:ascii="Times New Roman" w:hAnsi="Times New Roman" w:cs="Times New Roman"/>
                <w:color w:val="000000" w:themeColor="text1"/>
                <w:sz w:val="28"/>
                <w:szCs w:val="28"/>
              </w:rPr>
              <w:t>14</w:t>
            </w:r>
          </w:p>
        </w:tc>
      </w:tr>
      <w:tr w:rsidR="00460775" w14:paraId="6E0FAC7A" w14:textId="77777777" w:rsidTr="00460775">
        <w:tc>
          <w:tcPr>
            <w:tcW w:w="8491" w:type="dxa"/>
          </w:tcPr>
          <w:p w14:paraId="7054522A" w14:textId="231025C0" w:rsidR="00460775" w:rsidRPr="005606B6" w:rsidRDefault="00460775" w:rsidP="00C734D0">
            <w:pPr>
              <w:pStyle w:val="af"/>
              <w:spacing w:line="360" w:lineRule="auto"/>
              <w:rPr>
                <w:b/>
                <w:bCs/>
                <w:caps/>
              </w:rPr>
            </w:pPr>
            <w:r w:rsidRPr="005606B6">
              <w:rPr>
                <w:rFonts w:ascii="Times New Roman" w:hAnsi="Times New Roman" w:cs="Times New Roman"/>
                <w:b/>
                <w:bCs/>
                <w:caps/>
                <w:sz w:val="28"/>
                <w:szCs w:val="28"/>
              </w:rPr>
              <w:t xml:space="preserve">РОЗДІЛ 2. </w:t>
            </w:r>
            <w:r w:rsidR="00655D9F" w:rsidRPr="00655D9F">
              <w:rPr>
                <w:rFonts w:ascii="Times New Roman" w:hAnsi="Times New Roman" w:cs="Times New Roman"/>
                <w:b/>
                <w:bCs/>
                <w:caps/>
                <w:sz w:val="28"/>
                <w:szCs w:val="28"/>
              </w:rPr>
              <w:t>Геоекологічні наслідки та ризики функціонування ЦОД</w:t>
            </w:r>
          </w:p>
        </w:tc>
        <w:tc>
          <w:tcPr>
            <w:tcW w:w="560" w:type="dxa"/>
          </w:tcPr>
          <w:p w14:paraId="4B7B2F19" w14:textId="77777777" w:rsidR="00460775" w:rsidRPr="007651C5" w:rsidRDefault="00460775" w:rsidP="00E65390">
            <w:pPr>
              <w:pStyle w:val="af"/>
              <w:spacing w:line="360" w:lineRule="auto"/>
              <w:jc w:val="both"/>
              <w:rPr>
                <w:rFonts w:ascii="Times New Roman" w:hAnsi="Times New Roman" w:cs="Times New Roman"/>
                <w:sz w:val="28"/>
                <w:szCs w:val="28"/>
              </w:rPr>
            </w:pPr>
          </w:p>
        </w:tc>
        <w:tc>
          <w:tcPr>
            <w:tcW w:w="588" w:type="dxa"/>
          </w:tcPr>
          <w:p w14:paraId="6DE10F2A" w14:textId="61DE9A0F" w:rsidR="00460775" w:rsidRPr="003E5DC2" w:rsidRDefault="003E5DC2" w:rsidP="00E65390">
            <w:pPr>
              <w:pStyle w:val="af"/>
              <w:spacing w:line="360" w:lineRule="auto"/>
              <w:jc w:val="both"/>
              <w:rPr>
                <w:rStyle w:val="citation-160"/>
                <w:rFonts w:ascii="Times New Roman" w:hAnsi="Times New Roman" w:cs="Times New Roman"/>
                <w:color w:val="000000" w:themeColor="text1"/>
                <w:sz w:val="24"/>
                <w:szCs w:val="24"/>
              </w:rPr>
            </w:pPr>
            <w:r w:rsidRPr="003E5DC2">
              <w:rPr>
                <w:rStyle w:val="citation-160"/>
                <w:rFonts w:ascii="Times New Roman" w:hAnsi="Times New Roman" w:cs="Times New Roman"/>
                <w:color w:val="000000" w:themeColor="text1"/>
                <w:sz w:val="24"/>
                <w:szCs w:val="24"/>
              </w:rPr>
              <w:t>30</w:t>
            </w:r>
          </w:p>
        </w:tc>
      </w:tr>
      <w:tr w:rsidR="00460775" w14:paraId="23483D01" w14:textId="77777777" w:rsidTr="00460775">
        <w:tc>
          <w:tcPr>
            <w:tcW w:w="8491" w:type="dxa"/>
          </w:tcPr>
          <w:p w14:paraId="6A58A5A6" w14:textId="40696C57" w:rsidR="00460775" w:rsidRDefault="00460775" w:rsidP="00DC1BBA">
            <w:pPr>
              <w:pStyle w:val="af"/>
              <w:spacing w:line="360" w:lineRule="auto"/>
              <w:rPr>
                <w:rStyle w:val="citation-160"/>
                <w:rFonts w:ascii="Times New Roman" w:hAnsi="Times New Roman" w:cs="Times New Roman"/>
                <w:color w:val="000000" w:themeColor="text1"/>
                <w:sz w:val="28"/>
                <w:szCs w:val="28"/>
              </w:rPr>
            </w:pPr>
            <w:r w:rsidRPr="007651C5">
              <w:rPr>
                <w:rFonts w:ascii="Times New Roman" w:hAnsi="Times New Roman" w:cs="Times New Roman"/>
                <w:sz w:val="28"/>
                <w:szCs w:val="28"/>
              </w:rPr>
              <w:t>2.</w:t>
            </w:r>
            <w:r>
              <w:rPr>
                <w:rFonts w:ascii="Times New Roman" w:hAnsi="Times New Roman" w:cs="Times New Roman"/>
                <w:sz w:val="28"/>
                <w:szCs w:val="28"/>
              </w:rPr>
              <w:t>1</w:t>
            </w:r>
            <w:r w:rsidRPr="00DC1BBA">
              <w:rPr>
                <w:rFonts w:ascii="Times New Roman" w:hAnsi="Times New Roman" w:cs="Times New Roman"/>
                <w:b/>
                <w:bCs/>
                <w:sz w:val="28"/>
                <w:szCs w:val="28"/>
              </w:rPr>
              <w:t> </w:t>
            </w:r>
            <w:r w:rsidR="008D57CC" w:rsidRPr="008D57CC">
              <w:rPr>
                <w:rFonts w:ascii="Times New Roman" w:hAnsi="Times New Roman" w:cs="Times New Roman"/>
                <w:sz w:val="28"/>
                <w:szCs w:val="28"/>
              </w:rPr>
              <w:t>Феномен міських «островів тепла» та роль цифрової інфраструктури у його посиленні</w:t>
            </w:r>
          </w:p>
        </w:tc>
        <w:tc>
          <w:tcPr>
            <w:tcW w:w="560" w:type="dxa"/>
          </w:tcPr>
          <w:p w14:paraId="5B3905E0" w14:textId="77777777" w:rsidR="00460775" w:rsidRPr="007651C5" w:rsidRDefault="00460775" w:rsidP="00E65390">
            <w:pPr>
              <w:pStyle w:val="af"/>
              <w:spacing w:line="360" w:lineRule="auto"/>
              <w:jc w:val="both"/>
              <w:rPr>
                <w:rFonts w:ascii="Times New Roman" w:hAnsi="Times New Roman" w:cs="Times New Roman"/>
                <w:sz w:val="28"/>
                <w:szCs w:val="28"/>
              </w:rPr>
            </w:pPr>
          </w:p>
        </w:tc>
        <w:tc>
          <w:tcPr>
            <w:tcW w:w="588" w:type="dxa"/>
          </w:tcPr>
          <w:p w14:paraId="65D7CFB5" w14:textId="11CE67B6" w:rsidR="00460775" w:rsidRPr="003E5DC2" w:rsidRDefault="003E5DC2" w:rsidP="00E65390">
            <w:pPr>
              <w:pStyle w:val="af"/>
              <w:spacing w:line="360" w:lineRule="auto"/>
              <w:jc w:val="both"/>
              <w:rPr>
                <w:rStyle w:val="citation-160"/>
                <w:rFonts w:ascii="Times New Roman" w:hAnsi="Times New Roman" w:cs="Times New Roman"/>
                <w:color w:val="000000" w:themeColor="text1"/>
                <w:sz w:val="24"/>
                <w:szCs w:val="24"/>
              </w:rPr>
            </w:pPr>
            <w:r w:rsidRPr="003E5DC2">
              <w:rPr>
                <w:rStyle w:val="citation-160"/>
                <w:rFonts w:ascii="Times New Roman" w:hAnsi="Times New Roman" w:cs="Times New Roman"/>
                <w:color w:val="000000" w:themeColor="text1"/>
                <w:sz w:val="24"/>
                <w:szCs w:val="24"/>
              </w:rPr>
              <w:t>30</w:t>
            </w:r>
          </w:p>
        </w:tc>
      </w:tr>
      <w:tr w:rsidR="00460775" w14:paraId="1CFD76FA" w14:textId="77777777" w:rsidTr="00460775">
        <w:tc>
          <w:tcPr>
            <w:tcW w:w="8491" w:type="dxa"/>
          </w:tcPr>
          <w:p w14:paraId="25591892" w14:textId="1D6F107F" w:rsidR="00460775" w:rsidRPr="00BF7A94" w:rsidRDefault="00460775" w:rsidP="00BF7A94">
            <w:pPr>
              <w:pStyle w:val="af"/>
              <w:spacing w:line="360" w:lineRule="auto"/>
              <w:rPr>
                <w:rStyle w:val="citation-160"/>
                <w:rFonts w:ascii="Times New Roman" w:hAnsi="Times New Roman" w:cs="Times New Roman"/>
                <w:color w:val="000000" w:themeColor="text1"/>
                <w:sz w:val="28"/>
                <w:szCs w:val="28"/>
              </w:rPr>
            </w:pPr>
            <w:r w:rsidRPr="00BF7A94">
              <w:rPr>
                <w:rFonts w:ascii="Times New Roman" w:hAnsi="Times New Roman" w:cs="Times New Roman"/>
                <w:sz w:val="28"/>
                <w:szCs w:val="28"/>
              </w:rPr>
              <w:t xml:space="preserve">2.2 </w:t>
            </w:r>
            <w:r w:rsidR="008D57CC" w:rsidRPr="008D57CC">
              <w:rPr>
                <w:rFonts w:ascii="Times New Roman" w:hAnsi="Times New Roman" w:cs="Times New Roman"/>
                <w:sz w:val="28"/>
                <w:szCs w:val="28"/>
              </w:rPr>
              <w:t>Ресурсний дефіцит: вплив на споживання води та енергомережі міста</w:t>
            </w:r>
          </w:p>
        </w:tc>
        <w:tc>
          <w:tcPr>
            <w:tcW w:w="560" w:type="dxa"/>
          </w:tcPr>
          <w:p w14:paraId="04FB16F7" w14:textId="77777777" w:rsidR="00460775" w:rsidRPr="005606B6" w:rsidRDefault="00460775" w:rsidP="00E65390">
            <w:pPr>
              <w:pStyle w:val="af"/>
              <w:spacing w:line="360" w:lineRule="auto"/>
              <w:jc w:val="both"/>
              <w:rPr>
                <w:rStyle w:val="citation-160"/>
                <w:rFonts w:ascii="Times New Roman" w:hAnsi="Times New Roman" w:cs="Times New Roman"/>
                <w:color w:val="000000" w:themeColor="text1"/>
                <w:sz w:val="28"/>
                <w:szCs w:val="28"/>
              </w:rPr>
            </w:pPr>
          </w:p>
        </w:tc>
        <w:tc>
          <w:tcPr>
            <w:tcW w:w="588" w:type="dxa"/>
          </w:tcPr>
          <w:p w14:paraId="66105E45" w14:textId="47DACCEE" w:rsidR="00460775" w:rsidRPr="005606B6" w:rsidRDefault="00460775" w:rsidP="00E65390">
            <w:pPr>
              <w:pStyle w:val="af"/>
              <w:spacing w:line="360" w:lineRule="auto"/>
              <w:jc w:val="both"/>
              <w:rPr>
                <w:rStyle w:val="citation-160"/>
                <w:rFonts w:ascii="Times New Roman" w:hAnsi="Times New Roman" w:cs="Times New Roman"/>
                <w:color w:val="000000" w:themeColor="text1"/>
                <w:sz w:val="28"/>
                <w:szCs w:val="28"/>
              </w:rPr>
            </w:pPr>
            <w:r w:rsidRPr="005606B6">
              <w:rPr>
                <w:rStyle w:val="citation-160"/>
                <w:rFonts w:ascii="Times New Roman" w:hAnsi="Times New Roman" w:cs="Times New Roman"/>
                <w:color w:val="000000" w:themeColor="text1"/>
                <w:sz w:val="28"/>
                <w:szCs w:val="28"/>
              </w:rPr>
              <w:t>3</w:t>
            </w:r>
            <w:r w:rsidR="00367737">
              <w:rPr>
                <w:rStyle w:val="citation-160"/>
                <w:rFonts w:ascii="Times New Roman" w:hAnsi="Times New Roman" w:cs="Times New Roman"/>
                <w:color w:val="000000" w:themeColor="text1"/>
                <w:sz w:val="28"/>
                <w:szCs w:val="28"/>
              </w:rPr>
              <w:t>8</w:t>
            </w:r>
          </w:p>
        </w:tc>
      </w:tr>
      <w:tr w:rsidR="00460775" w14:paraId="24664703" w14:textId="77777777" w:rsidTr="00460775">
        <w:tc>
          <w:tcPr>
            <w:tcW w:w="8491" w:type="dxa"/>
          </w:tcPr>
          <w:p w14:paraId="5F07AC08" w14:textId="6B8E06B7" w:rsidR="00460775" w:rsidRPr="005606B6" w:rsidRDefault="00460775" w:rsidP="00D712F1">
            <w:pPr>
              <w:pStyle w:val="af"/>
              <w:spacing w:line="360" w:lineRule="auto"/>
              <w:rPr>
                <w:b/>
                <w:bCs/>
                <w:caps/>
              </w:rPr>
            </w:pPr>
            <w:r w:rsidRPr="005606B6">
              <w:rPr>
                <w:rFonts w:ascii="Times New Roman" w:hAnsi="Times New Roman" w:cs="Times New Roman"/>
                <w:b/>
                <w:bCs/>
                <w:caps/>
                <w:sz w:val="28"/>
                <w:szCs w:val="28"/>
              </w:rPr>
              <w:t xml:space="preserve">РОЗДІЛ 3. </w:t>
            </w:r>
            <w:r w:rsidR="00DA4335" w:rsidRPr="00DA4335">
              <w:rPr>
                <w:rFonts w:ascii="Times New Roman" w:hAnsi="Times New Roman" w:cs="Times New Roman"/>
                <w:b/>
                <w:bCs/>
                <w:caps/>
                <w:sz w:val="28"/>
                <w:szCs w:val="28"/>
              </w:rPr>
              <w:t> Геоінформаційний аналіз просторового розміщення ЦОД у м. Києві</w:t>
            </w:r>
          </w:p>
        </w:tc>
        <w:tc>
          <w:tcPr>
            <w:tcW w:w="560" w:type="dxa"/>
          </w:tcPr>
          <w:p w14:paraId="30DCA502" w14:textId="77777777" w:rsidR="00460775" w:rsidRPr="007651C5" w:rsidRDefault="00460775" w:rsidP="00E65390">
            <w:pPr>
              <w:pStyle w:val="af"/>
              <w:spacing w:line="360" w:lineRule="auto"/>
              <w:jc w:val="both"/>
              <w:rPr>
                <w:rFonts w:ascii="Times New Roman" w:hAnsi="Times New Roman" w:cs="Times New Roman"/>
                <w:sz w:val="28"/>
                <w:szCs w:val="28"/>
              </w:rPr>
            </w:pPr>
          </w:p>
        </w:tc>
        <w:tc>
          <w:tcPr>
            <w:tcW w:w="588" w:type="dxa"/>
          </w:tcPr>
          <w:p w14:paraId="445FA5BE" w14:textId="5621025E" w:rsidR="00460775" w:rsidRDefault="00460775" w:rsidP="00E65390">
            <w:pPr>
              <w:pStyle w:val="af"/>
              <w:spacing w:line="360" w:lineRule="auto"/>
              <w:jc w:val="both"/>
              <w:rPr>
                <w:rStyle w:val="citation-160"/>
                <w:rFonts w:ascii="Times New Roman" w:hAnsi="Times New Roman" w:cs="Times New Roman"/>
                <w:color w:val="000000" w:themeColor="text1"/>
                <w:sz w:val="28"/>
                <w:szCs w:val="28"/>
              </w:rPr>
            </w:pPr>
            <w:r w:rsidRPr="007651C5">
              <w:rPr>
                <w:rFonts w:ascii="Times New Roman" w:hAnsi="Times New Roman" w:cs="Times New Roman"/>
                <w:sz w:val="28"/>
                <w:szCs w:val="28"/>
              </w:rPr>
              <w:t>4</w:t>
            </w:r>
            <w:r w:rsidR="00367737">
              <w:rPr>
                <w:rFonts w:ascii="Times New Roman" w:hAnsi="Times New Roman" w:cs="Times New Roman"/>
                <w:sz w:val="28"/>
                <w:szCs w:val="28"/>
              </w:rPr>
              <w:t>6</w:t>
            </w:r>
          </w:p>
        </w:tc>
      </w:tr>
      <w:tr w:rsidR="00460775" w14:paraId="0CE325A4" w14:textId="77777777" w:rsidTr="00460775">
        <w:tc>
          <w:tcPr>
            <w:tcW w:w="8491" w:type="dxa"/>
          </w:tcPr>
          <w:p w14:paraId="35A30DB3" w14:textId="3B3390D7" w:rsidR="00460775" w:rsidRPr="007651C5" w:rsidRDefault="00460775" w:rsidP="00BA47BC">
            <w:pPr>
              <w:pStyle w:val="af"/>
              <w:spacing w:line="360" w:lineRule="auto"/>
              <w:rPr>
                <w:rFonts w:ascii="Times New Roman" w:hAnsi="Times New Roman" w:cs="Times New Roman"/>
                <w:sz w:val="28"/>
                <w:szCs w:val="28"/>
              </w:rPr>
            </w:pPr>
            <w:r w:rsidRPr="007651C5">
              <w:rPr>
                <w:rFonts w:ascii="Times New Roman" w:hAnsi="Times New Roman" w:cs="Times New Roman"/>
                <w:sz w:val="28"/>
                <w:szCs w:val="28"/>
              </w:rPr>
              <w:t>3.</w:t>
            </w:r>
            <w:r w:rsidR="00D570FB">
              <w:rPr>
                <w:rFonts w:ascii="Times New Roman" w:hAnsi="Times New Roman" w:cs="Times New Roman"/>
                <w:sz w:val="28"/>
                <w:szCs w:val="28"/>
              </w:rPr>
              <w:t>1</w:t>
            </w:r>
            <w:r w:rsidRPr="007651C5">
              <w:rPr>
                <w:rFonts w:ascii="Times New Roman" w:hAnsi="Times New Roman" w:cs="Times New Roman"/>
                <w:sz w:val="28"/>
                <w:szCs w:val="28"/>
              </w:rPr>
              <w:t xml:space="preserve"> </w:t>
            </w:r>
            <w:r w:rsidR="00ED5826" w:rsidRPr="00ED5826">
              <w:rPr>
                <w:rFonts w:ascii="Times New Roman" w:hAnsi="Times New Roman" w:cs="Times New Roman"/>
                <w:sz w:val="28"/>
                <w:szCs w:val="28"/>
              </w:rPr>
              <w:t>Просторова візуалізація розташування ЦОД у Києві: від локальних точок до системної мережі</w:t>
            </w:r>
          </w:p>
        </w:tc>
        <w:tc>
          <w:tcPr>
            <w:tcW w:w="560" w:type="dxa"/>
          </w:tcPr>
          <w:p w14:paraId="01F8A2AF" w14:textId="77777777" w:rsidR="00460775" w:rsidRPr="007651C5" w:rsidRDefault="00460775" w:rsidP="00E65390">
            <w:pPr>
              <w:pStyle w:val="af"/>
              <w:spacing w:line="360" w:lineRule="auto"/>
              <w:jc w:val="both"/>
              <w:rPr>
                <w:rFonts w:ascii="Times New Roman" w:hAnsi="Times New Roman" w:cs="Times New Roman"/>
                <w:sz w:val="28"/>
                <w:szCs w:val="28"/>
              </w:rPr>
            </w:pPr>
          </w:p>
        </w:tc>
        <w:tc>
          <w:tcPr>
            <w:tcW w:w="588" w:type="dxa"/>
          </w:tcPr>
          <w:p w14:paraId="4B5166D7" w14:textId="3AB09955" w:rsidR="00460775" w:rsidRPr="007651C5" w:rsidRDefault="00460775" w:rsidP="00E65390">
            <w:pPr>
              <w:pStyle w:val="af"/>
              <w:spacing w:line="360" w:lineRule="auto"/>
              <w:jc w:val="both"/>
              <w:rPr>
                <w:rFonts w:ascii="Times New Roman" w:hAnsi="Times New Roman" w:cs="Times New Roman"/>
                <w:sz w:val="28"/>
                <w:szCs w:val="28"/>
              </w:rPr>
            </w:pPr>
            <w:r w:rsidRPr="007651C5">
              <w:rPr>
                <w:rFonts w:ascii="Times New Roman" w:hAnsi="Times New Roman" w:cs="Times New Roman"/>
                <w:sz w:val="28"/>
                <w:szCs w:val="28"/>
              </w:rPr>
              <w:t>4</w:t>
            </w:r>
            <w:r w:rsidR="00D570FB">
              <w:rPr>
                <w:rFonts w:ascii="Times New Roman" w:hAnsi="Times New Roman" w:cs="Times New Roman"/>
                <w:sz w:val="28"/>
                <w:szCs w:val="28"/>
              </w:rPr>
              <w:t>6</w:t>
            </w:r>
          </w:p>
        </w:tc>
      </w:tr>
      <w:tr w:rsidR="00460775" w14:paraId="2EAFBABD" w14:textId="77777777" w:rsidTr="00460775">
        <w:tc>
          <w:tcPr>
            <w:tcW w:w="8491" w:type="dxa"/>
          </w:tcPr>
          <w:p w14:paraId="0127CEC3" w14:textId="2949A26C" w:rsidR="00460775" w:rsidRPr="007651C5" w:rsidRDefault="00460775" w:rsidP="00BA47BC">
            <w:pPr>
              <w:pStyle w:val="af"/>
              <w:spacing w:line="360" w:lineRule="auto"/>
              <w:rPr>
                <w:rFonts w:ascii="Times New Roman" w:hAnsi="Times New Roman" w:cs="Times New Roman"/>
                <w:sz w:val="28"/>
                <w:szCs w:val="28"/>
              </w:rPr>
            </w:pPr>
            <w:r w:rsidRPr="007651C5">
              <w:rPr>
                <w:rFonts w:ascii="Times New Roman" w:hAnsi="Times New Roman" w:cs="Times New Roman"/>
                <w:sz w:val="28"/>
                <w:szCs w:val="28"/>
              </w:rPr>
              <w:t>3.</w:t>
            </w:r>
            <w:r w:rsidR="00D570FB">
              <w:rPr>
                <w:rFonts w:ascii="Times New Roman" w:hAnsi="Times New Roman" w:cs="Times New Roman"/>
                <w:sz w:val="28"/>
                <w:szCs w:val="28"/>
              </w:rPr>
              <w:t>2</w:t>
            </w:r>
            <w:r w:rsidRPr="007651C5">
              <w:rPr>
                <w:rFonts w:ascii="Times New Roman" w:hAnsi="Times New Roman" w:cs="Times New Roman"/>
                <w:sz w:val="28"/>
                <w:szCs w:val="28"/>
              </w:rPr>
              <w:t xml:space="preserve"> </w:t>
            </w:r>
            <w:r w:rsidRPr="007651C5">
              <w:rPr>
                <w:rStyle w:val="citation-156"/>
                <w:rFonts w:ascii="Times New Roman" w:hAnsi="Times New Roman" w:cs="Times New Roman"/>
                <w:color w:val="000000" w:themeColor="text1"/>
                <w:sz w:val="28"/>
                <w:szCs w:val="28"/>
              </w:rPr>
              <w:t xml:space="preserve">Рекомендації щодо мінімізації втрат та впровадження </w:t>
            </w:r>
            <w:r w:rsidR="006B3598">
              <w:rPr>
                <w:rStyle w:val="citation-156"/>
                <w:rFonts w:ascii="Times New Roman" w:hAnsi="Times New Roman" w:cs="Times New Roman"/>
                <w:color w:val="000000" w:themeColor="text1"/>
                <w:sz w:val="28"/>
                <w:szCs w:val="28"/>
              </w:rPr>
              <w:t>еко-симбіозу</w:t>
            </w:r>
          </w:p>
        </w:tc>
        <w:tc>
          <w:tcPr>
            <w:tcW w:w="560" w:type="dxa"/>
          </w:tcPr>
          <w:p w14:paraId="5BCD5AA7" w14:textId="77777777" w:rsidR="00460775" w:rsidRPr="007651C5" w:rsidRDefault="00460775" w:rsidP="00E65390">
            <w:pPr>
              <w:pStyle w:val="af"/>
              <w:spacing w:line="360" w:lineRule="auto"/>
              <w:jc w:val="both"/>
              <w:rPr>
                <w:rFonts w:ascii="Times New Roman" w:hAnsi="Times New Roman" w:cs="Times New Roman"/>
                <w:sz w:val="28"/>
                <w:szCs w:val="28"/>
              </w:rPr>
            </w:pPr>
          </w:p>
        </w:tc>
        <w:tc>
          <w:tcPr>
            <w:tcW w:w="588" w:type="dxa"/>
          </w:tcPr>
          <w:p w14:paraId="6F33BB92" w14:textId="641610AE" w:rsidR="00460775" w:rsidRPr="007651C5" w:rsidRDefault="00291D35" w:rsidP="00E65390">
            <w:pPr>
              <w:pStyle w:val="af"/>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460775" w14:paraId="65CBB9D3" w14:textId="77777777" w:rsidTr="00460775">
        <w:tc>
          <w:tcPr>
            <w:tcW w:w="8491" w:type="dxa"/>
          </w:tcPr>
          <w:p w14:paraId="7FB882CA" w14:textId="4C447CA5" w:rsidR="00460775" w:rsidRPr="007651C5" w:rsidRDefault="00460775" w:rsidP="00E65390">
            <w:pPr>
              <w:pStyle w:val="af"/>
              <w:spacing w:line="360" w:lineRule="auto"/>
              <w:jc w:val="both"/>
              <w:rPr>
                <w:rFonts w:ascii="Times New Roman" w:hAnsi="Times New Roman" w:cs="Times New Roman"/>
                <w:sz w:val="28"/>
                <w:szCs w:val="28"/>
              </w:rPr>
            </w:pPr>
            <w:r w:rsidRPr="00320221">
              <w:rPr>
                <w:rFonts w:ascii="Times New Roman" w:hAnsi="Times New Roman" w:cs="Times New Roman"/>
                <w:b/>
                <w:bCs/>
                <w:sz w:val="28"/>
                <w:szCs w:val="28"/>
              </w:rPr>
              <w:t xml:space="preserve">РОЗДІЛ 4. </w:t>
            </w:r>
            <w:r w:rsidR="006D5670">
              <w:rPr>
                <w:rFonts w:ascii="Times New Roman" w:hAnsi="Times New Roman" w:cs="Times New Roman"/>
                <w:b/>
                <w:bCs/>
                <w:sz w:val="28"/>
                <w:szCs w:val="28"/>
              </w:rPr>
              <w:t>ТЕХНОЛОГІЧ</w:t>
            </w:r>
            <w:r w:rsidR="0076161E">
              <w:rPr>
                <w:rFonts w:ascii="Times New Roman" w:hAnsi="Times New Roman" w:cs="Times New Roman"/>
                <w:b/>
                <w:bCs/>
                <w:sz w:val="28"/>
                <w:szCs w:val="28"/>
              </w:rPr>
              <w:t>НА ОПТИМІЗАЦІЯ: ШЛЯХІ МІНІМІЗАЦІЇ ВПЛИВУ ЦОД НА ДОВКІЛЛЯ</w:t>
            </w:r>
            <w:r w:rsidR="006D5670" w:rsidRPr="006D5670">
              <w:rPr>
                <w:rFonts w:ascii="Times New Roman" w:hAnsi="Times New Roman" w:cs="Times New Roman"/>
                <w:b/>
                <w:bCs/>
                <w:sz w:val="28"/>
                <w:szCs w:val="28"/>
              </w:rPr>
              <w:t xml:space="preserve"> </w:t>
            </w:r>
          </w:p>
        </w:tc>
        <w:tc>
          <w:tcPr>
            <w:tcW w:w="560" w:type="dxa"/>
          </w:tcPr>
          <w:p w14:paraId="16760A8A" w14:textId="77777777" w:rsidR="00460775" w:rsidRPr="007651C5" w:rsidRDefault="00460775" w:rsidP="00E65390">
            <w:pPr>
              <w:pStyle w:val="af"/>
              <w:spacing w:line="360" w:lineRule="auto"/>
              <w:jc w:val="both"/>
              <w:rPr>
                <w:rFonts w:ascii="Times New Roman" w:hAnsi="Times New Roman" w:cs="Times New Roman"/>
                <w:sz w:val="28"/>
                <w:szCs w:val="28"/>
              </w:rPr>
            </w:pPr>
          </w:p>
        </w:tc>
        <w:tc>
          <w:tcPr>
            <w:tcW w:w="588" w:type="dxa"/>
          </w:tcPr>
          <w:p w14:paraId="647E8BF2" w14:textId="046FD6D6" w:rsidR="00460775" w:rsidRPr="007651C5" w:rsidRDefault="00DD29CD" w:rsidP="00E65390">
            <w:pPr>
              <w:pStyle w:val="af"/>
              <w:spacing w:line="360" w:lineRule="auto"/>
              <w:jc w:val="both"/>
              <w:rPr>
                <w:rFonts w:ascii="Times New Roman" w:hAnsi="Times New Roman" w:cs="Times New Roman"/>
                <w:sz w:val="28"/>
                <w:szCs w:val="28"/>
              </w:rPr>
            </w:pPr>
            <w:r>
              <w:rPr>
                <w:rFonts w:ascii="Times New Roman" w:hAnsi="Times New Roman" w:cs="Times New Roman"/>
                <w:sz w:val="28"/>
                <w:szCs w:val="28"/>
              </w:rPr>
              <w:t>52</w:t>
            </w:r>
          </w:p>
        </w:tc>
      </w:tr>
      <w:tr w:rsidR="00882E9D" w14:paraId="16DB2D2C" w14:textId="77777777" w:rsidTr="00460775">
        <w:tc>
          <w:tcPr>
            <w:tcW w:w="8491" w:type="dxa"/>
          </w:tcPr>
          <w:p w14:paraId="17B149C3" w14:textId="21C63B63" w:rsidR="00882E9D" w:rsidRPr="00A430D9" w:rsidRDefault="00882E9D" w:rsidP="00E65390">
            <w:pPr>
              <w:pStyle w:val="af"/>
              <w:spacing w:line="360" w:lineRule="auto"/>
              <w:jc w:val="both"/>
              <w:rPr>
                <w:rFonts w:ascii="Times New Roman" w:hAnsi="Times New Roman" w:cs="Times New Roman"/>
                <w:sz w:val="28"/>
                <w:szCs w:val="28"/>
              </w:rPr>
            </w:pPr>
            <w:r w:rsidRPr="00A430D9">
              <w:rPr>
                <w:rFonts w:ascii="Times New Roman" w:hAnsi="Times New Roman" w:cs="Times New Roman"/>
                <w:sz w:val="28"/>
                <w:szCs w:val="28"/>
              </w:rPr>
              <w:t>4.</w:t>
            </w:r>
            <w:r w:rsidR="00A430D9" w:rsidRPr="00A430D9">
              <w:rPr>
                <w:rFonts w:ascii="Times New Roman" w:hAnsi="Times New Roman" w:cs="Times New Roman"/>
                <w:sz w:val="28"/>
                <w:szCs w:val="28"/>
              </w:rPr>
              <w:t xml:space="preserve">1 </w:t>
            </w:r>
            <w:r w:rsidR="00842758" w:rsidRPr="00842758">
              <w:rPr>
                <w:rFonts w:ascii="Times New Roman" w:hAnsi="Times New Roman" w:cs="Times New Roman"/>
                <w:sz w:val="28"/>
                <w:szCs w:val="28"/>
              </w:rPr>
              <w:t>Термічна рекуперація як інструмент перетворення скидного тепла на ресурс</w:t>
            </w:r>
            <w:r w:rsidR="005D0156">
              <w:rPr>
                <w:rFonts w:ascii="Times New Roman" w:hAnsi="Times New Roman" w:cs="Times New Roman"/>
                <w:sz w:val="28"/>
                <w:szCs w:val="28"/>
              </w:rPr>
              <w:t xml:space="preserve"> та </w:t>
            </w:r>
            <w:r w:rsidR="005D0156" w:rsidRPr="00167C3A">
              <w:rPr>
                <w:rFonts w:ascii="Times New Roman" w:hAnsi="Times New Roman" w:cs="Times New Roman"/>
                <w:sz w:val="28"/>
                <w:szCs w:val="28"/>
              </w:rPr>
              <w:t>Алгоритми просторової оптимізації для вибору сталих локацій розміщення нових ЦОД</w:t>
            </w:r>
          </w:p>
        </w:tc>
        <w:tc>
          <w:tcPr>
            <w:tcW w:w="560" w:type="dxa"/>
          </w:tcPr>
          <w:p w14:paraId="07678566" w14:textId="77777777" w:rsidR="00882E9D" w:rsidRPr="007651C5" w:rsidRDefault="00882E9D" w:rsidP="00E65390">
            <w:pPr>
              <w:pStyle w:val="af"/>
              <w:spacing w:line="360" w:lineRule="auto"/>
              <w:jc w:val="both"/>
              <w:rPr>
                <w:rFonts w:ascii="Times New Roman" w:hAnsi="Times New Roman" w:cs="Times New Roman"/>
                <w:sz w:val="28"/>
                <w:szCs w:val="28"/>
              </w:rPr>
            </w:pPr>
          </w:p>
        </w:tc>
        <w:tc>
          <w:tcPr>
            <w:tcW w:w="588" w:type="dxa"/>
          </w:tcPr>
          <w:p w14:paraId="29755F71" w14:textId="0CB33AA9" w:rsidR="00882E9D" w:rsidRPr="007651C5" w:rsidRDefault="005D0156" w:rsidP="00E65390">
            <w:pPr>
              <w:pStyle w:val="af"/>
              <w:spacing w:line="360" w:lineRule="auto"/>
              <w:jc w:val="both"/>
              <w:rPr>
                <w:rFonts w:ascii="Times New Roman" w:hAnsi="Times New Roman" w:cs="Times New Roman"/>
                <w:sz w:val="28"/>
                <w:szCs w:val="28"/>
              </w:rPr>
            </w:pPr>
            <w:r>
              <w:rPr>
                <w:rFonts w:ascii="Times New Roman" w:hAnsi="Times New Roman" w:cs="Times New Roman"/>
                <w:sz w:val="28"/>
                <w:szCs w:val="28"/>
              </w:rPr>
              <w:t>52</w:t>
            </w:r>
          </w:p>
        </w:tc>
      </w:tr>
      <w:tr w:rsidR="00FB17DB" w14:paraId="39A75CC3" w14:textId="77777777" w:rsidTr="00460775">
        <w:tc>
          <w:tcPr>
            <w:tcW w:w="8491" w:type="dxa"/>
          </w:tcPr>
          <w:p w14:paraId="045BA038" w14:textId="77777777" w:rsidR="00FB17DB" w:rsidRPr="00320221" w:rsidRDefault="00FB17DB" w:rsidP="00E65390">
            <w:pPr>
              <w:pStyle w:val="af"/>
              <w:spacing w:line="360" w:lineRule="auto"/>
              <w:jc w:val="both"/>
              <w:rPr>
                <w:rFonts w:ascii="Times New Roman" w:hAnsi="Times New Roman" w:cs="Times New Roman"/>
                <w:sz w:val="28"/>
                <w:szCs w:val="28"/>
              </w:rPr>
            </w:pPr>
          </w:p>
        </w:tc>
        <w:tc>
          <w:tcPr>
            <w:tcW w:w="560" w:type="dxa"/>
          </w:tcPr>
          <w:p w14:paraId="4A1E4169" w14:textId="77777777" w:rsidR="00FB17DB" w:rsidRPr="0094677F" w:rsidRDefault="00FB17DB" w:rsidP="00E65390">
            <w:pPr>
              <w:pStyle w:val="af"/>
              <w:spacing w:line="360" w:lineRule="auto"/>
              <w:jc w:val="both"/>
              <w:rPr>
                <w:rStyle w:val="citation-155"/>
                <w:rFonts w:ascii="Times New Roman" w:hAnsi="Times New Roman" w:cs="Times New Roman"/>
                <w:color w:val="000000" w:themeColor="text1"/>
                <w:sz w:val="28"/>
                <w:szCs w:val="28"/>
              </w:rPr>
            </w:pPr>
          </w:p>
        </w:tc>
        <w:tc>
          <w:tcPr>
            <w:tcW w:w="588" w:type="dxa"/>
          </w:tcPr>
          <w:p w14:paraId="05C03469" w14:textId="77777777" w:rsidR="00FB17DB" w:rsidRDefault="00FB17DB" w:rsidP="00E65390">
            <w:pPr>
              <w:pStyle w:val="af"/>
              <w:spacing w:line="360" w:lineRule="auto"/>
              <w:jc w:val="both"/>
              <w:rPr>
                <w:rStyle w:val="citation-155"/>
                <w:rFonts w:ascii="Times New Roman" w:hAnsi="Times New Roman" w:cs="Times New Roman"/>
                <w:color w:val="000000" w:themeColor="text1"/>
                <w:sz w:val="28"/>
                <w:szCs w:val="28"/>
              </w:rPr>
            </w:pPr>
          </w:p>
        </w:tc>
      </w:tr>
      <w:tr w:rsidR="00FB17DB" w14:paraId="43708311" w14:textId="77777777" w:rsidTr="00460775">
        <w:tc>
          <w:tcPr>
            <w:tcW w:w="8491" w:type="dxa"/>
          </w:tcPr>
          <w:p w14:paraId="589B2F86" w14:textId="150B5AA4" w:rsidR="00FB17DB" w:rsidRPr="00951128" w:rsidRDefault="00A4550C" w:rsidP="00BA47BC">
            <w:pPr>
              <w:pStyle w:val="af"/>
              <w:spacing w:line="360" w:lineRule="auto"/>
              <w:rPr>
                <w:rFonts w:ascii="Times New Roman" w:hAnsi="Times New Roman" w:cs="Times New Roman"/>
                <w:sz w:val="28"/>
                <w:szCs w:val="28"/>
              </w:rPr>
            </w:pPr>
            <w:r w:rsidRPr="00951128">
              <w:rPr>
                <w:rFonts w:ascii="Times New Roman" w:hAnsi="Times New Roman" w:cs="Times New Roman"/>
                <w:sz w:val="28"/>
                <w:szCs w:val="28"/>
              </w:rPr>
              <w:t>4.</w:t>
            </w:r>
            <w:r w:rsidR="005D0156">
              <w:rPr>
                <w:rFonts w:ascii="Times New Roman" w:hAnsi="Times New Roman" w:cs="Times New Roman"/>
                <w:sz w:val="28"/>
                <w:szCs w:val="28"/>
              </w:rPr>
              <w:t>2</w:t>
            </w:r>
            <w:r w:rsidR="00BA47BC">
              <w:rPr>
                <w:rFonts w:ascii="Times New Roman" w:hAnsi="Times New Roman" w:cs="Times New Roman"/>
                <w:sz w:val="28"/>
                <w:szCs w:val="28"/>
              </w:rPr>
              <w:t xml:space="preserve"> </w:t>
            </w:r>
            <w:r w:rsidR="00EB7622" w:rsidRPr="00EB7622">
              <w:rPr>
                <w:rFonts w:ascii="Times New Roman" w:hAnsi="Times New Roman" w:cs="Times New Roman"/>
                <w:sz w:val="28"/>
                <w:szCs w:val="28"/>
              </w:rPr>
              <w:t>Стандартизація екологічних вимог: від проєктних рішень до «цифрового гомеостазу».</w:t>
            </w:r>
          </w:p>
        </w:tc>
        <w:tc>
          <w:tcPr>
            <w:tcW w:w="560" w:type="dxa"/>
          </w:tcPr>
          <w:p w14:paraId="547B05CA" w14:textId="77777777" w:rsidR="00FB17DB" w:rsidRPr="0094677F" w:rsidRDefault="00FB17DB" w:rsidP="00E65390">
            <w:pPr>
              <w:pStyle w:val="af"/>
              <w:spacing w:line="360" w:lineRule="auto"/>
              <w:jc w:val="both"/>
              <w:rPr>
                <w:rStyle w:val="citation-155"/>
                <w:rFonts w:ascii="Times New Roman" w:hAnsi="Times New Roman" w:cs="Times New Roman"/>
                <w:color w:val="000000" w:themeColor="text1"/>
                <w:sz w:val="28"/>
                <w:szCs w:val="28"/>
              </w:rPr>
            </w:pPr>
          </w:p>
        </w:tc>
        <w:tc>
          <w:tcPr>
            <w:tcW w:w="588" w:type="dxa"/>
          </w:tcPr>
          <w:p w14:paraId="0E99F59F" w14:textId="7A262791" w:rsidR="00FB17DB" w:rsidRPr="00A4550C" w:rsidRDefault="005C7E6D" w:rsidP="00E65390">
            <w:pPr>
              <w:pStyle w:val="af"/>
              <w:spacing w:line="360" w:lineRule="auto"/>
              <w:jc w:val="both"/>
              <w:rPr>
                <w:rStyle w:val="citation-155"/>
                <w:rFonts w:ascii="Times New Roman" w:hAnsi="Times New Roman" w:cs="Times New Roman"/>
                <w:color w:val="000000" w:themeColor="text1"/>
                <w:sz w:val="28"/>
                <w:szCs w:val="28"/>
              </w:rPr>
            </w:pPr>
            <w:r>
              <w:rPr>
                <w:rStyle w:val="citation-155"/>
                <w:rFonts w:ascii="Times New Roman" w:hAnsi="Times New Roman" w:cs="Times New Roman"/>
                <w:color w:val="000000" w:themeColor="text1"/>
                <w:sz w:val="28"/>
                <w:szCs w:val="28"/>
              </w:rPr>
              <w:t>6</w:t>
            </w:r>
            <w:r w:rsidR="00650B65">
              <w:rPr>
                <w:rStyle w:val="citation-155"/>
                <w:rFonts w:ascii="Times New Roman" w:hAnsi="Times New Roman" w:cs="Times New Roman"/>
                <w:color w:val="000000" w:themeColor="text1"/>
                <w:sz w:val="28"/>
                <w:szCs w:val="28"/>
              </w:rPr>
              <w:t>3</w:t>
            </w:r>
          </w:p>
        </w:tc>
      </w:tr>
      <w:tr w:rsidR="00951128" w14:paraId="42791148" w14:textId="77777777" w:rsidTr="00460775">
        <w:tc>
          <w:tcPr>
            <w:tcW w:w="8491" w:type="dxa"/>
          </w:tcPr>
          <w:p w14:paraId="5CC66EF0" w14:textId="7D6355E6" w:rsidR="00951128" w:rsidRPr="00673071" w:rsidRDefault="00673071" w:rsidP="00BA47BC">
            <w:pPr>
              <w:pStyle w:val="af"/>
              <w:spacing w:line="360" w:lineRule="auto"/>
              <w:rPr>
                <w:rFonts w:ascii="Times New Roman" w:hAnsi="Times New Roman" w:cs="Times New Roman"/>
                <w:sz w:val="28"/>
                <w:szCs w:val="28"/>
              </w:rPr>
            </w:pPr>
            <w:r w:rsidRPr="00673071">
              <w:rPr>
                <w:rFonts w:ascii="Times New Roman" w:hAnsi="Times New Roman" w:cs="Times New Roman"/>
                <w:sz w:val="28"/>
                <w:szCs w:val="28"/>
              </w:rPr>
              <w:lastRenderedPageBreak/>
              <w:t>4.</w:t>
            </w:r>
            <w:r w:rsidR="005D0156">
              <w:rPr>
                <w:rFonts w:ascii="Times New Roman" w:hAnsi="Times New Roman" w:cs="Times New Roman"/>
                <w:sz w:val="28"/>
                <w:szCs w:val="28"/>
              </w:rPr>
              <w:t>3</w:t>
            </w:r>
            <w:r w:rsidRPr="00673071">
              <w:rPr>
                <w:rFonts w:ascii="Times New Roman" w:hAnsi="Times New Roman" w:cs="Times New Roman"/>
                <w:sz w:val="28"/>
                <w:szCs w:val="28"/>
              </w:rPr>
              <w:t xml:space="preserve"> </w:t>
            </w:r>
            <w:r w:rsidR="008E35AB" w:rsidRPr="008E35AB">
              <w:rPr>
                <w:rFonts w:ascii="Times New Roman" w:hAnsi="Times New Roman" w:cs="Times New Roman"/>
                <w:sz w:val="28"/>
                <w:szCs w:val="28"/>
              </w:rPr>
              <w:t>Техніко-економічне обґрунтування впровадження енергосимбіозу</w:t>
            </w:r>
            <w:r w:rsidR="00AE63FF">
              <w:rPr>
                <w:rFonts w:ascii="Times New Roman" w:hAnsi="Times New Roman" w:cs="Times New Roman"/>
                <w:sz w:val="28"/>
                <w:szCs w:val="28"/>
              </w:rPr>
              <w:t>: світовий д</w:t>
            </w:r>
            <w:r w:rsidR="004B272C">
              <w:rPr>
                <w:rFonts w:ascii="Times New Roman" w:hAnsi="Times New Roman" w:cs="Times New Roman"/>
                <w:sz w:val="28"/>
                <w:szCs w:val="28"/>
              </w:rPr>
              <w:t>ос</w:t>
            </w:r>
            <w:r w:rsidR="00AE63FF">
              <w:rPr>
                <w:rFonts w:ascii="Times New Roman" w:hAnsi="Times New Roman" w:cs="Times New Roman"/>
                <w:sz w:val="28"/>
                <w:szCs w:val="28"/>
              </w:rPr>
              <w:t>від</w:t>
            </w:r>
          </w:p>
        </w:tc>
        <w:tc>
          <w:tcPr>
            <w:tcW w:w="560" w:type="dxa"/>
          </w:tcPr>
          <w:p w14:paraId="439AD15E" w14:textId="77777777" w:rsidR="00951128" w:rsidRPr="0094677F" w:rsidRDefault="00951128" w:rsidP="00E65390">
            <w:pPr>
              <w:pStyle w:val="af"/>
              <w:spacing w:line="360" w:lineRule="auto"/>
              <w:jc w:val="both"/>
              <w:rPr>
                <w:rStyle w:val="citation-155"/>
                <w:rFonts w:ascii="Times New Roman" w:hAnsi="Times New Roman" w:cs="Times New Roman"/>
                <w:color w:val="000000" w:themeColor="text1"/>
                <w:sz w:val="28"/>
                <w:szCs w:val="28"/>
              </w:rPr>
            </w:pPr>
          </w:p>
        </w:tc>
        <w:tc>
          <w:tcPr>
            <w:tcW w:w="588" w:type="dxa"/>
          </w:tcPr>
          <w:p w14:paraId="255ED75F" w14:textId="4AE571F3" w:rsidR="00951128" w:rsidRPr="00650B65" w:rsidRDefault="005209BB" w:rsidP="00E65390">
            <w:pPr>
              <w:pStyle w:val="af"/>
              <w:spacing w:line="360" w:lineRule="auto"/>
              <w:jc w:val="both"/>
              <w:rPr>
                <w:rStyle w:val="citation-155"/>
                <w:rFonts w:ascii="Times New Roman" w:hAnsi="Times New Roman" w:cs="Times New Roman"/>
                <w:color w:val="000000" w:themeColor="text1"/>
                <w:sz w:val="28"/>
                <w:szCs w:val="28"/>
              </w:rPr>
            </w:pPr>
            <w:r>
              <w:rPr>
                <w:rStyle w:val="citation-155"/>
                <w:rFonts w:ascii="Times New Roman" w:hAnsi="Times New Roman" w:cs="Times New Roman"/>
                <w:color w:val="000000" w:themeColor="text1"/>
                <w:sz w:val="28"/>
                <w:szCs w:val="28"/>
              </w:rPr>
              <w:t>6</w:t>
            </w:r>
            <w:r w:rsidR="00650B65">
              <w:rPr>
                <w:rStyle w:val="citation-155"/>
                <w:rFonts w:ascii="Times New Roman" w:hAnsi="Times New Roman" w:cs="Times New Roman"/>
                <w:color w:val="000000" w:themeColor="text1"/>
                <w:sz w:val="28"/>
                <w:szCs w:val="28"/>
              </w:rPr>
              <w:t>4</w:t>
            </w:r>
          </w:p>
        </w:tc>
      </w:tr>
      <w:tr w:rsidR="005115ED" w14:paraId="4A428B81" w14:textId="77777777" w:rsidTr="00460775">
        <w:tc>
          <w:tcPr>
            <w:tcW w:w="8491" w:type="dxa"/>
          </w:tcPr>
          <w:p w14:paraId="72D2A631" w14:textId="652E7F25" w:rsidR="005115ED" w:rsidRPr="00951128" w:rsidRDefault="00951128" w:rsidP="00E65390">
            <w:pPr>
              <w:pStyle w:val="af"/>
              <w:spacing w:line="360" w:lineRule="auto"/>
              <w:jc w:val="both"/>
              <w:rPr>
                <w:rStyle w:val="citation-154"/>
                <w:rFonts w:ascii="Times New Roman" w:hAnsi="Times New Roman" w:cs="Times New Roman"/>
                <w:b/>
                <w:bCs/>
                <w:color w:val="000000" w:themeColor="text1"/>
                <w:sz w:val="28"/>
                <w:szCs w:val="28"/>
              </w:rPr>
            </w:pPr>
            <w:r w:rsidRPr="00951128">
              <w:rPr>
                <w:rStyle w:val="citation-154"/>
                <w:rFonts w:ascii="Times New Roman" w:hAnsi="Times New Roman" w:cs="Times New Roman"/>
                <w:b/>
                <w:bCs/>
                <w:color w:val="000000" w:themeColor="text1"/>
                <w:sz w:val="28"/>
                <w:szCs w:val="28"/>
              </w:rPr>
              <w:t>ВИСНОВКИ</w:t>
            </w:r>
          </w:p>
        </w:tc>
        <w:tc>
          <w:tcPr>
            <w:tcW w:w="560" w:type="dxa"/>
          </w:tcPr>
          <w:p w14:paraId="163E978B" w14:textId="77777777" w:rsidR="005115ED" w:rsidRPr="007651C5" w:rsidRDefault="005115ED" w:rsidP="00E65390">
            <w:pPr>
              <w:pStyle w:val="af"/>
              <w:spacing w:line="360" w:lineRule="auto"/>
              <w:jc w:val="both"/>
              <w:rPr>
                <w:rStyle w:val="citation-154"/>
                <w:rFonts w:ascii="Times New Roman" w:hAnsi="Times New Roman" w:cs="Times New Roman"/>
                <w:color w:val="000000" w:themeColor="text1"/>
                <w:sz w:val="28"/>
                <w:szCs w:val="28"/>
              </w:rPr>
            </w:pPr>
          </w:p>
        </w:tc>
        <w:tc>
          <w:tcPr>
            <w:tcW w:w="588" w:type="dxa"/>
          </w:tcPr>
          <w:p w14:paraId="7A487F24" w14:textId="07335535" w:rsidR="005115ED" w:rsidRPr="007651C5" w:rsidRDefault="00FD6DB6" w:rsidP="00E65390">
            <w:pPr>
              <w:pStyle w:val="af"/>
              <w:spacing w:line="360" w:lineRule="auto"/>
              <w:jc w:val="both"/>
              <w:rPr>
                <w:rStyle w:val="citation-154"/>
                <w:rFonts w:ascii="Times New Roman" w:hAnsi="Times New Roman" w:cs="Times New Roman"/>
                <w:color w:val="000000" w:themeColor="text1"/>
                <w:sz w:val="28"/>
                <w:szCs w:val="28"/>
              </w:rPr>
            </w:pPr>
            <w:r>
              <w:rPr>
                <w:rStyle w:val="citation-154"/>
                <w:rFonts w:ascii="Times New Roman" w:hAnsi="Times New Roman" w:cs="Times New Roman"/>
                <w:color w:val="000000" w:themeColor="text1"/>
                <w:sz w:val="28"/>
                <w:szCs w:val="28"/>
              </w:rPr>
              <w:t>6</w:t>
            </w:r>
            <w:r w:rsidR="00650B65">
              <w:rPr>
                <w:rStyle w:val="citation-154"/>
                <w:rFonts w:ascii="Times New Roman" w:hAnsi="Times New Roman" w:cs="Times New Roman"/>
                <w:color w:val="000000" w:themeColor="text1"/>
                <w:sz w:val="28"/>
                <w:szCs w:val="28"/>
              </w:rPr>
              <w:t>7</w:t>
            </w:r>
          </w:p>
        </w:tc>
      </w:tr>
      <w:tr w:rsidR="00460775" w14:paraId="3DA791A3" w14:textId="77777777" w:rsidTr="00460775">
        <w:tc>
          <w:tcPr>
            <w:tcW w:w="8491" w:type="dxa"/>
          </w:tcPr>
          <w:p w14:paraId="7EFD0FA3" w14:textId="77777777" w:rsidR="00460775" w:rsidRPr="00466E35" w:rsidRDefault="00460775" w:rsidP="00E65390">
            <w:pPr>
              <w:pStyle w:val="af"/>
              <w:spacing w:line="360" w:lineRule="auto"/>
              <w:jc w:val="both"/>
              <w:rPr>
                <w:rStyle w:val="citation-155"/>
                <w:rFonts w:ascii="Times New Roman" w:hAnsi="Times New Roman" w:cs="Times New Roman"/>
                <w:b/>
                <w:bCs/>
                <w:color w:val="000000" w:themeColor="text1"/>
                <w:sz w:val="28"/>
                <w:szCs w:val="28"/>
              </w:rPr>
            </w:pPr>
            <w:r w:rsidRPr="00466E35">
              <w:rPr>
                <w:rStyle w:val="citation-154"/>
                <w:rFonts w:ascii="Times New Roman" w:hAnsi="Times New Roman" w:cs="Times New Roman"/>
                <w:b/>
                <w:bCs/>
                <w:color w:val="000000" w:themeColor="text1"/>
                <w:sz w:val="28"/>
                <w:szCs w:val="28"/>
              </w:rPr>
              <w:t>СПИСОК ВИКОРИСТАНИХ ДЖЕРЕЛ</w:t>
            </w:r>
          </w:p>
        </w:tc>
        <w:tc>
          <w:tcPr>
            <w:tcW w:w="560" w:type="dxa"/>
          </w:tcPr>
          <w:p w14:paraId="58CF6DD7" w14:textId="77777777" w:rsidR="00460775" w:rsidRPr="007651C5" w:rsidRDefault="00460775" w:rsidP="00E65390">
            <w:pPr>
              <w:pStyle w:val="af"/>
              <w:spacing w:line="360" w:lineRule="auto"/>
              <w:jc w:val="both"/>
              <w:rPr>
                <w:rStyle w:val="citation-154"/>
                <w:rFonts w:ascii="Times New Roman" w:hAnsi="Times New Roman" w:cs="Times New Roman"/>
                <w:color w:val="000000" w:themeColor="text1"/>
                <w:sz w:val="28"/>
                <w:szCs w:val="28"/>
              </w:rPr>
            </w:pPr>
          </w:p>
        </w:tc>
        <w:tc>
          <w:tcPr>
            <w:tcW w:w="588" w:type="dxa"/>
          </w:tcPr>
          <w:p w14:paraId="4D4DD314" w14:textId="2EDA1A6B" w:rsidR="00460775" w:rsidRPr="00650B65" w:rsidRDefault="00FD6DB6" w:rsidP="00E65390">
            <w:pPr>
              <w:pStyle w:val="af"/>
              <w:spacing w:line="360" w:lineRule="auto"/>
              <w:jc w:val="both"/>
              <w:rPr>
                <w:rStyle w:val="citation-155"/>
                <w:rFonts w:ascii="Times New Roman" w:hAnsi="Times New Roman" w:cs="Times New Roman"/>
                <w:color w:val="000000" w:themeColor="text1"/>
                <w:sz w:val="28"/>
                <w:szCs w:val="28"/>
                <w:lang w:val="en-US"/>
              </w:rPr>
            </w:pPr>
            <w:r>
              <w:rPr>
                <w:rStyle w:val="citation-154"/>
                <w:rFonts w:ascii="Times New Roman" w:hAnsi="Times New Roman" w:cs="Times New Roman"/>
                <w:color w:val="000000" w:themeColor="text1"/>
                <w:sz w:val="28"/>
                <w:szCs w:val="28"/>
              </w:rPr>
              <w:t>7</w:t>
            </w:r>
            <w:r w:rsidR="00650B65">
              <w:rPr>
                <w:rStyle w:val="citation-154"/>
                <w:rFonts w:ascii="Times New Roman" w:hAnsi="Times New Roman" w:cs="Times New Roman"/>
                <w:color w:val="000000" w:themeColor="text1"/>
                <w:sz w:val="28"/>
                <w:szCs w:val="28"/>
                <w:lang w:val="en-US"/>
              </w:rPr>
              <w:t>3</w:t>
            </w:r>
          </w:p>
        </w:tc>
      </w:tr>
    </w:tbl>
    <w:p w14:paraId="00684D99" w14:textId="77777777" w:rsidR="00367737" w:rsidRDefault="00185435" w:rsidP="00080EC6">
      <w:pPr>
        <w:spacing w:after="0" w:line="360" w:lineRule="auto"/>
        <w:contextualSpacing/>
        <w:jc w:val="center"/>
        <w:outlineLvl w:val="2"/>
        <w:rPr>
          <w:rFonts w:ascii="Times New Roman" w:eastAsia="Times New Roman" w:hAnsi="Times New Roman" w:cs="Times New Roman"/>
          <w:b/>
          <w:bCs/>
          <w:color w:val="000000" w:themeColor="text1"/>
          <w:sz w:val="28"/>
          <w:szCs w:val="28"/>
          <w:lang w:eastAsia="uk-UA"/>
        </w:rPr>
      </w:pPr>
      <w:r>
        <w:br/>
      </w:r>
      <w:r w:rsidR="00367737">
        <w:rPr>
          <w:rFonts w:ascii="Times New Roman" w:eastAsia="Times New Roman" w:hAnsi="Times New Roman" w:cs="Times New Roman"/>
          <w:b/>
          <w:bCs/>
          <w:color w:val="000000" w:themeColor="text1"/>
          <w:sz w:val="28"/>
          <w:szCs w:val="28"/>
          <w:lang w:eastAsia="uk-UA"/>
        </w:rPr>
        <w:br w:type="page"/>
      </w:r>
    </w:p>
    <w:p w14:paraId="34EDDCA7" w14:textId="56E092B0" w:rsidR="00080EC6" w:rsidRDefault="00080EC6" w:rsidP="00080EC6">
      <w:pPr>
        <w:spacing w:after="0" w:line="360" w:lineRule="auto"/>
        <w:contextualSpacing/>
        <w:jc w:val="center"/>
        <w:outlineLvl w:val="2"/>
        <w:rPr>
          <w:rFonts w:ascii="Times New Roman" w:eastAsia="Times New Roman" w:hAnsi="Times New Roman" w:cs="Times New Roman"/>
          <w:b/>
          <w:bCs/>
          <w:color w:val="000000" w:themeColor="text1"/>
          <w:sz w:val="28"/>
          <w:szCs w:val="28"/>
          <w:lang w:eastAsia="uk-UA"/>
        </w:rPr>
      </w:pPr>
      <w:r w:rsidRPr="00DA5DEE">
        <w:rPr>
          <w:rFonts w:ascii="Times New Roman" w:eastAsia="Times New Roman" w:hAnsi="Times New Roman" w:cs="Times New Roman"/>
          <w:b/>
          <w:bCs/>
          <w:color w:val="000000" w:themeColor="text1"/>
          <w:sz w:val="28"/>
          <w:szCs w:val="28"/>
          <w:lang w:eastAsia="uk-UA"/>
        </w:rPr>
        <w:lastRenderedPageBreak/>
        <w:t>ВСТУП</w:t>
      </w:r>
    </w:p>
    <w:p w14:paraId="3DFFC317" w14:textId="77777777" w:rsidR="007F4AD4" w:rsidRDefault="007F4AD4" w:rsidP="00080EC6">
      <w:pPr>
        <w:spacing w:after="0" w:line="360" w:lineRule="auto"/>
        <w:contextualSpacing/>
        <w:jc w:val="center"/>
        <w:outlineLvl w:val="2"/>
        <w:rPr>
          <w:rFonts w:ascii="Times New Roman" w:eastAsia="Times New Roman" w:hAnsi="Times New Roman" w:cs="Times New Roman"/>
          <w:b/>
          <w:bCs/>
          <w:color w:val="000000" w:themeColor="text1"/>
          <w:sz w:val="28"/>
          <w:szCs w:val="28"/>
          <w:lang w:eastAsia="uk-UA"/>
        </w:rPr>
      </w:pPr>
    </w:p>
    <w:p w14:paraId="097BDB06" w14:textId="0207CABD" w:rsidR="00DF77F5" w:rsidRPr="00DF77F5" w:rsidRDefault="007F4AD4" w:rsidP="00E65390">
      <w:pPr>
        <w:pStyle w:val="ae"/>
        <w:spacing w:after="0"/>
        <w:ind w:firstLine="709"/>
        <w:jc w:val="both"/>
        <w:rPr>
          <w:sz w:val="28"/>
          <w:szCs w:val="28"/>
        </w:rPr>
      </w:pPr>
      <w:r>
        <w:rPr>
          <w:b/>
          <w:bCs/>
          <w:sz w:val="28"/>
          <w:szCs w:val="28"/>
        </w:rPr>
        <w:t xml:space="preserve"> </w:t>
      </w:r>
      <w:r w:rsidR="00DF77F5" w:rsidRPr="00DF77F5">
        <w:rPr>
          <w:b/>
          <w:bCs/>
          <w:sz w:val="28"/>
          <w:szCs w:val="28"/>
        </w:rPr>
        <w:t>Актуальність теми.</w:t>
      </w:r>
      <w:r w:rsidR="00DF77F5" w:rsidRPr="00DF77F5">
        <w:rPr>
          <w:sz w:val="28"/>
          <w:szCs w:val="28"/>
        </w:rPr>
        <w:t xml:space="preserve"> Сучасний етап розвитку цифрової економіки супроводжується фундаментальним когнітивним дисонансом: за ілюзією «нематеріальності» хмарних обчислень прихована жорстка термодинамічна реальність. Глобальна мережа центрів обробки даних (ЦОД) перетворилася на найбільш ресурсоємний індустріальний комплекс, що функціонує за деструктивною лінійною моделлю «Take-Make-Waste». Експоненційне зростання трафіку, зумовлене надлишковою генерацією даних («цифрове ожиріння») та розвитком штучного інтелекту, призводить до того, що ЦОД генерують незворотну термодинамічну ентропію, яка скидається в міське середовище у вигляді низькопотенційного тепла.</w:t>
      </w:r>
    </w:p>
    <w:p w14:paraId="6F8E1925" w14:textId="7FF967AF" w:rsidR="00DF77F5" w:rsidRPr="00DF77F5" w:rsidRDefault="007F4AD4" w:rsidP="00E65390">
      <w:pPr>
        <w:pStyle w:val="ae"/>
        <w:spacing w:after="0"/>
        <w:ind w:firstLine="709"/>
        <w:jc w:val="both"/>
        <w:rPr>
          <w:sz w:val="28"/>
          <w:szCs w:val="28"/>
        </w:rPr>
      </w:pPr>
      <w:r>
        <w:rPr>
          <w:sz w:val="28"/>
          <w:szCs w:val="28"/>
        </w:rPr>
        <w:t xml:space="preserve"> </w:t>
      </w:r>
      <w:r w:rsidR="00DF77F5" w:rsidRPr="00DF77F5">
        <w:rPr>
          <w:sz w:val="28"/>
          <w:szCs w:val="28"/>
        </w:rPr>
        <w:t>Використання традиційних метрик енергоефективності, таких як PUE, легітимізує парадокс Джевонса та маскує реальні масштаби геоекологічної деградації: формування міських «островів тепла», аеродинамічну агресію, акустичний терор та критичне водне виснаження міст. У зв'язку з цим, архітектурна ізоляція ЦОД стає екологічно неможливою. Виникає гостра необхідність переходу від моделі пасивного споживання до «цифрового гомеостазу» — енергетичного симбіозу, де скидне тепло дата-центрів рекуперується та перетворюється на ресурс для міської інфраструктури на основі жорсткої просторової оптимізації та впровадження єдиних галузевих стандартів (Unitary Thermal Standard — UTS).</w:t>
      </w:r>
    </w:p>
    <w:p w14:paraId="39678CFA" w14:textId="77777777" w:rsidR="00DF77F5" w:rsidRPr="00DF77F5" w:rsidRDefault="00DF77F5" w:rsidP="00E65390">
      <w:pPr>
        <w:pStyle w:val="ae"/>
        <w:spacing w:after="0"/>
        <w:ind w:firstLine="709"/>
        <w:jc w:val="both"/>
        <w:rPr>
          <w:sz w:val="28"/>
          <w:szCs w:val="28"/>
        </w:rPr>
      </w:pPr>
      <w:r w:rsidRPr="00DF77F5">
        <w:rPr>
          <w:b/>
          <w:bCs/>
          <w:sz w:val="28"/>
          <w:szCs w:val="28"/>
        </w:rPr>
        <w:t>Мета дослідження</w:t>
      </w:r>
      <w:r w:rsidRPr="00DF77F5">
        <w:rPr>
          <w:sz w:val="28"/>
          <w:szCs w:val="28"/>
        </w:rPr>
        <w:t xml:space="preserve"> полягає у комплексному геоекологічному оцінюванні антропогенного впливу ЦОД на урбанізоване середовище та розробці геоінформаційної моделі енергетичного симбіозу цифрової інфраструктури з міськими територіями (на прикладі м. Києва) для перетворення скидного тепла на ресурс.</w:t>
      </w:r>
    </w:p>
    <w:p w14:paraId="54981DAC" w14:textId="77777777" w:rsidR="00DF77F5" w:rsidRPr="00DF77F5" w:rsidRDefault="00DF77F5" w:rsidP="00E65390">
      <w:pPr>
        <w:pStyle w:val="ae"/>
        <w:spacing w:after="0"/>
        <w:ind w:firstLine="709"/>
        <w:jc w:val="both"/>
        <w:rPr>
          <w:sz w:val="28"/>
          <w:szCs w:val="28"/>
        </w:rPr>
      </w:pPr>
      <w:r w:rsidRPr="00DF77F5">
        <w:rPr>
          <w:b/>
          <w:bCs/>
          <w:sz w:val="28"/>
          <w:szCs w:val="28"/>
        </w:rPr>
        <w:t>Об’єкт дослідження:</w:t>
      </w:r>
      <w:r w:rsidRPr="00DF77F5">
        <w:rPr>
          <w:sz w:val="28"/>
          <w:szCs w:val="28"/>
        </w:rPr>
        <w:t xml:space="preserve"> геоекологічний вплив інфраструктури центрів обробки даних на природно-антропогенні комплекси урбанізованих територій.</w:t>
      </w:r>
    </w:p>
    <w:p w14:paraId="6AB73AEE" w14:textId="77777777" w:rsidR="00DF77F5" w:rsidRPr="00DF77F5" w:rsidRDefault="00DF77F5" w:rsidP="00E65390">
      <w:pPr>
        <w:pStyle w:val="ae"/>
        <w:spacing w:after="0"/>
        <w:ind w:firstLine="709"/>
        <w:jc w:val="both"/>
        <w:rPr>
          <w:sz w:val="28"/>
          <w:szCs w:val="28"/>
        </w:rPr>
      </w:pPr>
      <w:r w:rsidRPr="00DF77F5">
        <w:rPr>
          <w:b/>
          <w:bCs/>
          <w:sz w:val="28"/>
          <w:szCs w:val="28"/>
        </w:rPr>
        <w:t>Предмет дослідження:</w:t>
      </w:r>
      <w:r w:rsidRPr="00DF77F5">
        <w:rPr>
          <w:sz w:val="28"/>
          <w:szCs w:val="28"/>
        </w:rPr>
        <w:t xml:space="preserve"> просторова оптимізація розміщення ЦОД та механізми формування енергетичного симбіозу (термічної рекуперації) між обчислювальними вузлами та об'єктами соціальної інфраструктури м. Києва.</w:t>
      </w:r>
    </w:p>
    <w:p w14:paraId="125CA870" w14:textId="77777777" w:rsidR="00DF77F5" w:rsidRPr="00DF77F5" w:rsidRDefault="00DF77F5" w:rsidP="00E65390">
      <w:pPr>
        <w:pStyle w:val="ae"/>
        <w:spacing w:after="0"/>
        <w:ind w:firstLine="709"/>
        <w:jc w:val="both"/>
        <w:rPr>
          <w:sz w:val="28"/>
          <w:szCs w:val="28"/>
        </w:rPr>
      </w:pPr>
      <w:r w:rsidRPr="00DF77F5">
        <w:rPr>
          <w:sz w:val="28"/>
          <w:szCs w:val="28"/>
        </w:rPr>
        <w:t xml:space="preserve">Для досягнення мети було поставлено та вирішено такі </w:t>
      </w:r>
      <w:r w:rsidRPr="00DF77F5">
        <w:rPr>
          <w:b/>
          <w:bCs/>
          <w:sz w:val="28"/>
          <w:szCs w:val="28"/>
        </w:rPr>
        <w:t>завдання</w:t>
      </w:r>
      <w:r w:rsidRPr="00DF77F5">
        <w:rPr>
          <w:sz w:val="28"/>
          <w:szCs w:val="28"/>
        </w:rPr>
        <w:t xml:space="preserve"> </w:t>
      </w:r>
      <w:r w:rsidRPr="00DF77F5">
        <w:rPr>
          <w:i/>
          <w:iCs/>
          <w:sz w:val="28"/>
          <w:szCs w:val="28"/>
        </w:rPr>
        <w:t>(прим. ідеально синхронізовані з 4 розділами)</w:t>
      </w:r>
      <w:r w:rsidRPr="00DF77F5">
        <w:rPr>
          <w:sz w:val="28"/>
          <w:szCs w:val="28"/>
        </w:rPr>
        <w:t>:</w:t>
      </w:r>
    </w:p>
    <w:p w14:paraId="07B67A5A" w14:textId="56AAC262" w:rsidR="00DF77F5" w:rsidRPr="00DF77F5" w:rsidRDefault="007F4AD4" w:rsidP="00E65390">
      <w:pPr>
        <w:pStyle w:val="ae"/>
        <w:spacing w:after="0"/>
        <w:ind w:firstLine="709"/>
        <w:jc w:val="both"/>
        <w:rPr>
          <w:sz w:val="28"/>
          <w:szCs w:val="28"/>
        </w:rPr>
      </w:pPr>
      <w:r>
        <w:rPr>
          <w:sz w:val="28"/>
          <w:szCs w:val="28"/>
        </w:rPr>
        <w:t>1.</w:t>
      </w:r>
      <w:r w:rsidR="00DF77F5" w:rsidRPr="00DF77F5">
        <w:rPr>
          <w:sz w:val="28"/>
          <w:szCs w:val="28"/>
        </w:rPr>
        <w:t>Проаналізувати еволюцію дата-центрів від ізольованих об'єктів до вузлів міської інфраструктури та розкрити термодинамічні суперечності лінійної економіки в ІТ-секторі.</w:t>
      </w:r>
    </w:p>
    <w:p w14:paraId="7E8081DE" w14:textId="5C0E5E5C" w:rsidR="00DF77F5" w:rsidRPr="00DF77F5" w:rsidRDefault="007F4AD4" w:rsidP="00E65390">
      <w:pPr>
        <w:pStyle w:val="ae"/>
        <w:spacing w:after="0"/>
        <w:ind w:firstLine="709"/>
        <w:jc w:val="both"/>
        <w:rPr>
          <w:sz w:val="28"/>
          <w:szCs w:val="28"/>
        </w:rPr>
      </w:pPr>
      <w:r>
        <w:rPr>
          <w:sz w:val="28"/>
          <w:szCs w:val="28"/>
        </w:rPr>
        <w:lastRenderedPageBreak/>
        <w:t>2.</w:t>
      </w:r>
      <w:r w:rsidR="00DF77F5" w:rsidRPr="00DF77F5">
        <w:rPr>
          <w:sz w:val="28"/>
          <w:szCs w:val="28"/>
        </w:rPr>
        <w:t>Дослідити геоекологічні наслідки функціонування ЦОД, зокрема їхню роль у посиленні феномену міських «островів тепла», гідрологічному виснаженні та формуванні техногенної ентропії (акустичне, вібраційне та електромагнітне забруднення).</w:t>
      </w:r>
    </w:p>
    <w:p w14:paraId="2303242D" w14:textId="2E46D314" w:rsidR="00DF77F5" w:rsidRPr="00DF77F5" w:rsidRDefault="007F4AD4" w:rsidP="00E65390">
      <w:pPr>
        <w:pStyle w:val="ae"/>
        <w:spacing w:after="0"/>
        <w:ind w:firstLine="709"/>
        <w:jc w:val="both"/>
        <w:rPr>
          <w:sz w:val="28"/>
          <w:szCs w:val="28"/>
        </w:rPr>
      </w:pPr>
      <w:r>
        <w:rPr>
          <w:sz w:val="28"/>
          <w:szCs w:val="28"/>
        </w:rPr>
        <w:t>3.</w:t>
      </w:r>
      <w:r w:rsidR="00DF77F5" w:rsidRPr="00DF77F5">
        <w:rPr>
          <w:sz w:val="28"/>
          <w:szCs w:val="28"/>
        </w:rPr>
        <w:t>Здійснити геоінформаційний аналіз та просторову візуалізацію діючих ЦОД у м. Києві з визначенням зон економічно доцільного теплового тяжіння на основі алгоритмів просторової оптимізації.</w:t>
      </w:r>
    </w:p>
    <w:p w14:paraId="4A8F9602" w14:textId="6E1C7011" w:rsidR="00DF77F5" w:rsidRPr="00DF77F5" w:rsidRDefault="007F4AD4" w:rsidP="00E65390">
      <w:pPr>
        <w:pStyle w:val="ae"/>
        <w:spacing w:after="0"/>
        <w:ind w:firstLine="709"/>
        <w:jc w:val="both"/>
        <w:rPr>
          <w:sz w:val="28"/>
          <w:szCs w:val="28"/>
        </w:rPr>
      </w:pPr>
      <w:r>
        <w:rPr>
          <w:sz w:val="28"/>
          <w:szCs w:val="28"/>
        </w:rPr>
        <w:t>4.</w:t>
      </w:r>
      <w:r w:rsidR="00DF77F5" w:rsidRPr="00DF77F5">
        <w:rPr>
          <w:sz w:val="28"/>
          <w:szCs w:val="28"/>
        </w:rPr>
        <w:t>Обґрунтувати технологічні рішення для мінімізації впливу ЦОД на довкілля через впровадження термічної рекуперації, алгоритмів динамічного навантаження та концептуалізації індустріального стандарту UTS.</w:t>
      </w:r>
    </w:p>
    <w:p w14:paraId="017AA565" w14:textId="77777777" w:rsidR="00DF77F5" w:rsidRPr="00DF77F5" w:rsidRDefault="00DF77F5" w:rsidP="00E65390">
      <w:pPr>
        <w:pStyle w:val="ae"/>
        <w:spacing w:after="0"/>
        <w:ind w:firstLine="709"/>
        <w:jc w:val="both"/>
        <w:rPr>
          <w:sz w:val="28"/>
          <w:szCs w:val="28"/>
        </w:rPr>
      </w:pPr>
      <w:r w:rsidRPr="00DF77F5">
        <w:rPr>
          <w:b/>
          <w:bCs/>
          <w:sz w:val="28"/>
          <w:szCs w:val="28"/>
        </w:rPr>
        <w:t>Методи дослідження.</w:t>
      </w:r>
      <w:r w:rsidRPr="00DF77F5">
        <w:rPr>
          <w:sz w:val="28"/>
          <w:szCs w:val="28"/>
        </w:rPr>
        <w:t xml:space="preserve"> У роботі застосовано комплексний підхід, що поєднує методи просторового, термодинамічного та системного аналізу. Для картографічного моделювання використано інструментарій геоінформаційних систем (QGIS), алгоритми просторової фільтрації (буферизація зон покриття радіусом 1000 м) та математичний алгоритм побудови полігонів Вороного для розмежування зон теплового тяжіння. Ексергетичний аналіз застосовано для оцінки потенціалу низькопотенційного тепла, а методи техніко-економічного обґрунтування — для оцінки CapEx/OpEx систем рекуперації.</w:t>
      </w:r>
    </w:p>
    <w:p w14:paraId="5927BEEC" w14:textId="77777777" w:rsidR="00DF77F5" w:rsidRPr="00DF77F5" w:rsidRDefault="00DF77F5" w:rsidP="00E65390">
      <w:pPr>
        <w:pStyle w:val="ae"/>
        <w:spacing w:after="0"/>
        <w:ind w:firstLine="709"/>
        <w:jc w:val="both"/>
        <w:rPr>
          <w:sz w:val="28"/>
          <w:szCs w:val="28"/>
        </w:rPr>
      </w:pPr>
      <w:r w:rsidRPr="00DF77F5">
        <w:rPr>
          <w:b/>
          <w:bCs/>
          <w:sz w:val="28"/>
          <w:szCs w:val="28"/>
        </w:rPr>
        <w:t>Наукова новизна одержаних результатів.</w:t>
      </w:r>
      <w:r w:rsidRPr="00DF77F5">
        <w:rPr>
          <w:sz w:val="28"/>
          <w:szCs w:val="28"/>
        </w:rPr>
        <w:t xml:space="preserve"> Вперше здійснено комплексне геоінформаційне моделювання зон енергетичного симбіозу для діючих ЦОД м. Києва з використанням полігонів Вороного, що дозволило оптимізувати розподіл скидного тепла між об'єктами соціальної інфраструктури. Набула подальшого розвитку концепція «цифрового гомеостазу», в межах якої обґрунтовано необхідність впровадження індустріального стандарту рекуперації UTS (Unitary Thermal Standard) замість одномірної метрики PUE.</w:t>
      </w:r>
    </w:p>
    <w:p w14:paraId="64D45C85" w14:textId="77777777" w:rsidR="00DF77F5" w:rsidRPr="00DF77F5" w:rsidRDefault="00DF77F5" w:rsidP="00E65390">
      <w:pPr>
        <w:pStyle w:val="ae"/>
        <w:spacing w:after="0"/>
        <w:ind w:firstLine="709"/>
        <w:jc w:val="both"/>
        <w:rPr>
          <w:sz w:val="28"/>
          <w:szCs w:val="28"/>
        </w:rPr>
      </w:pPr>
      <w:r w:rsidRPr="00DF77F5">
        <w:rPr>
          <w:b/>
          <w:bCs/>
          <w:sz w:val="28"/>
          <w:szCs w:val="28"/>
        </w:rPr>
        <w:t>Практичне значення одержаних результатів.</w:t>
      </w:r>
      <w:r w:rsidRPr="00DF77F5">
        <w:rPr>
          <w:sz w:val="28"/>
          <w:szCs w:val="28"/>
        </w:rPr>
        <w:t xml:space="preserve"> Створені векторні ГІС-моделі та розраховані зони просторової оптимізації можуть бути використані Департаментом міського благоустрою та розробниками генерального плану м. Києва для ревіталізації колишніх промислових зон (зокрема, Подільсько-Куренівського вузла) шляхом інтеграції ЦОД у системи централізованого теплопостачання (District Heating). Обґрунтовані моделі рідинного охолодження та рекуперації є готовим базисом для екологічного проєктування нових комерційних дата-центрів.</w:t>
      </w:r>
    </w:p>
    <w:p w14:paraId="0EE1D9C1" w14:textId="0E7C55BD" w:rsidR="007F4AD4" w:rsidRDefault="007F4AD4" w:rsidP="00C23227">
      <w:pPr>
        <w:pStyle w:val="ae"/>
        <w:spacing w:after="0"/>
        <w:ind w:left="708"/>
        <w:rPr>
          <w:sz w:val="28"/>
          <w:szCs w:val="28"/>
        </w:rPr>
      </w:pPr>
      <w:r>
        <w:rPr>
          <w:sz w:val="28"/>
          <w:szCs w:val="28"/>
        </w:rPr>
        <w:br w:type="page"/>
      </w:r>
    </w:p>
    <w:p w14:paraId="52F1E231" w14:textId="77777777" w:rsidR="00C23227" w:rsidRDefault="00C23227" w:rsidP="00C23227">
      <w:pPr>
        <w:pStyle w:val="ae"/>
        <w:spacing w:after="0"/>
        <w:ind w:left="708"/>
        <w:rPr>
          <w:sz w:val="28"/>
          <w:szCs w:val="28"/>
        </w:rPr>
      </w:pPr>
    </w:p>
    <w:p w14:paraId="67339413" w14:textId="30A8F578" w:rsidR="00023B27" w:rsidRPr="00740C8E" w:rsidRDefault="00C23227" w:rsidP="00E65390">
      <w:pPr>
        <w:pStyle w:val="ae"/>
        <w:spacing w:after="0"/>
        <w:ind w:left="708"/>
        <w:jc w:val="center"/>
        <w:rPr>
          <w:rFonts w:eastAsia="Times New Roman"/>
          <w:b/>
          <w:bCs/>
          <w:kern w:val="0"/>
          <w:lang w:eastAsia="uk-UA"/>
          <w14:ligatures w14:val="none"/>
        </w:rPr>
      </w:pPr>
      <w:r>
        <w:rPr>
          <w:sz w:val="28"/>
          <w:szCs w:val="28"/>
        </w:rPr>
        <w:br/>
      </w:r>
      <w:r>
        <w:rPr>
          <w:b/>
          <w:bCs/>
          <w:caps/>
          <w:sz w:val="28"/>
          <w:szCs w:val="28"/>
        </w:rPr>
        <w:t xml:space="preserve"> </w:t>
      </w:r>
      <w:r>
        <w:rPr>
          <w:b/>
          <w:bCs/>
          <w:caps/>
          <w:sz w:val="28"/>
          <w:szCs w:val="28"/>
        </w:rPr>
        <w:tab/>
      </w:r>
      <w:r w:rsidRPr="005606B6">
        <w:rPr>
          <w:b/>
          <w:bCs/>
          <w:caps/>
          <w:sz w:val="28"/>
          <w:szCs w:val="28"/>
        </w:rPr>
        <w:t xml:space="preserve">РОЗДІЛ 1. </w:t>
      </w:r>
      <w:r w:rsidRPr="005550E0">
        <w:rPr>
          <w:b/>
          <w:bCs/>
          <w:caps/>
          <w:sz w:val="28"/>
          <w:szCs w:val="28"/>
        </w:rPr>
        <w:t xml:space="preserve">Теоретико-методичні засади </w:t>
      </w:r>
      <w:r>
        <w:rPr>
          <w:b/>
          <w:bCs/>
          <w:caps/>
          <w:sz w:val="28"/>
          <w:szCs w:val="28"/>
        </w:rPr>
        <w:t xml:space="preserve"> </w:t>
      </w:r>
      <w:r w:rsidRPr="005550E0">
        <w:rPr>
          <w:b/>
          <w:bCs/>
          <w:caps/>
          <w:sz w:val="28"/>
          <w:szCs w:val="28"/>
        </w:rPr>
        <w:t>функціонування ЦОД в навколишньому середовищі</w:t>
      </w:r>
      <w:r>
        <w:rPr>
          <w:b/>
          <w:bCs/>
          <w:caps/>
          <w:sz w:val="28"/>
          <w:szCs w:val="28"/>
        </w:rPr>
        <w:br/>
      </w:r>
      <w:r w:rsidR="00740C8E">
        <w:rPr>
          <w:sz w:val="28"/>
          <w:szCs w:val="28"/>
        </w:rPr>
        <w:br/>
      </w:r>
      <w:r w:rsidR="00740C8E" w:rsidRPr="00740C8E">
        <w:rPr>
          <w:rFonts w:eastAsia="Times New Roman"/>
          <w:b/>
          <w:bCs/>
          <w:color w:val="000000"/>
          <w:kern w:val="0"/>
          <w:sz w:val="28"/>
          <w:szCs w:val="28"/>
          <w:lang w:eastAsia="uk-UA"/>
          <w14:ligatures w14:val="none"/>
        </w:rPr>
        <w:t>1.1 Еволюція дата-центрів: від ізольованих об’єктів до вузлів міської інфраструктури</w:t>
      </w:r>
    </w:p>
    <w:p w14:paraId="687A307C" w14:textId="77777777" w:rsidR="00E65390" w:rsidRDefault="00100B21" w:rsidP="00E65390">
      <w:pPr>
        <w:pStyle w:val="af"/>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2425BB" w:rsidRPr="002425BB">
        <w:rPr>
          <w:rFonts w:ascii="Times New Roman" w:hAnsi="Times New Roman" w:cs="Times New Roman"/>
          <w:sz w:val="28"/>
          <w:szCs w:val="28"/>
        </w:rPr>
        <w:t>Історія формування центрів обробки даних (ЦОД) розпочинається з епохи мейнфреймів, коли обчислювальні потужності були зосереджені у великих, фізично ізольованих залах. У цей період, що тривав до середини 1990-х років, дата-центри функціонували як автономні, закриті системи. Енергощільність обладнання була низькою, а сумарний антропогенний вплив на довкілля — мінімальним. Архітектура об'єктів проєктувалася виключно за принципом «фортеці»: безпека даних гарантувалася фізичною віддаленістю від зовнішнього середовища. Екологічний вплив у цей час був локальним і обмеженим лише базовими потребами у кондиціонуванні повітря, що не потребувало інтеграції з магістральними енергетичними мережами чи масштабного використання водних ресурсів.</w:t>
      </w:r>
    </w:p>
    <w:p w14:paraId="4F7CC3A5" w14:textId="2E4D59C9" w:rsidR="00E65390" w:rsidRDefault="00134B0D" w:rsidP="00E65390">
      <w:pPr>
        <w:pStyle w:val="af"/>
        <w:spacing w:line="360" w:lineRule="auto"/>
        <w:ind w:firstLine="708"/>
        <w:jc w:val="both"/>
        <w:rPr>
          <w:rFonts w:ascii="Times New Roman" w:hAnsi="Times New Roman" w:cs="Times New Roman"/>
          <w:sz w:val="28"/>
          <w:szCs w:val="28"/>
        </w:rPr>
      </w:pPr>
      <w:r w:rsidRPr="00134B0D">
        <w:rPr>
          <w:rFonts w:ascii="Times New Roman" w:hAnsi="Times New Roman" w:cs="Times New Roman"/>
          <w:sz w:val="28"/>
          <w:szCs w:val="28"/>
        </w:rPr>
        <w:t xml:space="preserve">Із розвитком глобальної мережі Інтернет наприкінці 1990-х років відбулася фундаментальна зміна парадигми: виникла потреба у створенні комерційних дата-центрів. З 1995 по 2005 рік ми спостерігаємо перехід від корпоративних «підвальних» серверних до спеціалізованих будівель, орієнтованих на надання ІТ-інфраструктури як послуги. У цей період енергоспоживання сектора почало зростати лінійно: </w:t>
      </w:r>
      <w:r w:rsidR="0001688E">
        <w:rPr>
          <w:rFonts w:ascii="Times New Roman" w:hAnsi="Times New Roman" w:cs="Times New Roman"/>
          <w:sz w:val="28"/>
          <w:szCs w:val="28"/>
        </w:rPr>
        <w:t>базуючись на</w:t>
      </w:r>
      <w:r w:rsidRPr="00134B0D">
        <w:rPr>
          <w:rFonts w:ascii="Times New Roman" w:hAnsi="Times New Roman" w:cs="Times New Roman"/>
          <w:sz w:val="28"/>
          <w:szCs w:val="28"/>
        </w:rPr>
        <w:t xml:space="preserve"> звіта</w:t>
      </w:r>
      <w:r w:rsidR="0001688E">
        <w:rPr>
          <w:rFonts w:ascii="Times New Roman" w:hAnsi="Times New Roman" w:cs="Times New Roman"/>
          <w:sz w:val="28"/>
          <w:szCs w:val="28"/>
        </w:rPr>
        <w:t>х</w:t>
      </w:r>
      <w:r w:rsidRPr="00134B0D">
        <w:rPr>
          <w:rFonts w:ascii="Times New Roman" w:hAnsi="Times New Roman" w:cs="Times New Roman"/>
          <w:sz w:val="28"/>
          <w:szCs w:val="28"/>
        </w:rPr>
        <w:t xml:space="preserve"> IEA, щорічний приріст споживання електроенергії ІТ-сектором складав близько 3–5%. Дата-центри все ще зберігали ознаки ізольованості, проте їхня кількість у великих промислових вузлах почала створювати перше помітне навантаження на локальні енергомережі, хоча питання екологічного сліду на той час залишалося поза межами дискурсу містобудування.</w:t>
      </w:r>
    </w:p>
    <w:p w14:paraId="068043A6" w14:textId="342D78B7" w:rsidR="00E65390" w:rsidRDefault="00093A7F" w:rsidP="00E65390">
      <w:pPr>
        <w:pStyle w:val="af"/>
        <w:spacing w:line="360" w:lineRule="auto"/>
        <w:ind w:firstLine="708"/>
        <w:jc w:val="both"/>
        <w:rPr>
          <w:rFonts w:ascii="Times New Roman" w:hAnsi="Times New Roman" w:cs="Times New Roman"/>
          <w:sz w:val="28"/>
          <w:szCs w:val="28"/>
        </w:rPr>
      </w:pPr>
      <w:r w:rsidRPr="00093A7F">
        <w:rPr>
          <w:rFonts w:ascii="Times New Roman" w:hAnsi="Times New Roman" w:cs="Times New Roman"/>
          <w:sz w:val="28"/>
          <w:szCs w:val="28"/>
        </w:rPr>
        <w:t xml:space="preserve">Період 2005–2015 років ознаменувався виходом на сцену гіпермасштабних дата-центрів. Розвиток соціальних мереж, відеострімінгу та хмарних сервісів спричинив вибухове зростання обсягів даних: світ перейшов від терабайтів до </w:t>
      </w:r>
      <w:r w:rsidRPr="00093A7F">
        <w:rPr>
          <w:rFonts w:ascii="Times New Roman" w:hAnsi="Times New Roman" w:cs="Times New Roman"/>
          <w:sz w:val="28"/>
          <w:szCs w:val="28"/>
        </w:rPr>
        <w:lastRenderedPageBreak/>
        <w:t>зеттабайтів (1 зеттабайт = 10</w:t>
      </w:r>
      <w:r w:rsidRPr="00147606">
        <w:rPr>
          <w:rFonts w:ascii="Times New Roman" w:hAnsi="Times New Roman" w:cs="Times New Roman"/>
          <w:sz w:val="28"/>
          <w:szCs w:val="28"/>
          <w:vertAlign w:val="superscript"/>
        </w:rPr>
        <w:t>21</w:t>
      </w:r>
      <w:r w:rsidRPr="00147606">
        <w:rPr>
          <w:rFonts w:ascii="Times New Roman" w:hAnsi="Times New Roman" w:cs="Times New Roman"/>
          <w:sz w:val="36"/>
          <w:szCs w:val="36"/>
        </w:rPr>
        <w:t xml:space="preserve"> </w:t>
      </w:r>
      <w:r w:rsidRPr="00093A7F">
        <w:rPr>
          <w:rFonts w:ascii="Times New Roman" w:hAnsi="Times New Roman" w:cs="Times New Roman"/>
          <w:sz w:val="28"/>
          <w:szCs w:val="28"/>
        </w:rPr>
        <w:t>байт). Архітектурна ізоляція стала технічно недоцільною через колосальні енергетичні потреби. В цей час сформувалася концепція PUE (Power Usage Effectiveness), яка стала реакцією на неконтрольоване зростання споживання. Проте, попри впровадження енергоефективних технологій, абсолютне споживання електроенергії ЦОД зросло на 40-50% за десятиліття. Саме в цей період закладено фундамент «термодинамічної кризи»: системи охолодження почали вимагати масового використання випарних технологій, що призвело до перших прецедентів значного споживання водних ресурсів у промислових масштабах.</w:t>
      </w:r>
    </w:p>
    <w:p w14:paraId="4FBCE80A" w14:textId="5BDE9ED5" w:rsidR="00E65390" w:rsidRDefault="00943AA3" w:rsidP="00E65390">
      <w:pPr>
        <w:pStyle w:val="af"/>
        <w:spacing w:line="360" w:lineRule="auto"/>
        <w:ind w:firstLine="708"/>
        <w:jc w:val="both"/>
        <w:rPr>
          <w:rFonts w:ascii="Times New Roman" w:hAnsi="Times New Roman" w:cs="Times New Roman"/>
          <w:sz w:val="28"/>
          <w:szCs w:val="28"/>
        </w:rPr>
      </w:pPr>
      <w:r w:rsidRPr="00943AA3">
        <w:rPr>
          <w:rFonts w:ascii="Times New Roman" w:hAnsi="Times New Roman" w:cs="Times New Roman"/>
          <w:sz w:val="28"/>
          <w:szCs w:val="28"/>
        </w:rPr>
        <w:t xml:space="preserve">Сучасний етап (з 2015 року) характеризується радикальною зміною просторової логіки: ЦОД стають «крайовими» (Edge Computing). Для забезпечення мінімальної затримки сигналу, дата-центри наближаються до кінцевого користувача, вплітаючись у житлові та ділові квартали міст. Сьогодні ЦОД — це вже не окремі бункери, а активні вузли міської інфраструктури, що безпосередньо конкурують за ресурси з населенням. </w:t>
      </w:r>
      <w:r w:rsidR="00EE15A7">
        <w:rPr>
          <w:rFonts w:ascii="Times New Roman" w:hAnsi="Times New Roman" w:cs="Times New Roman"/>
          <w:sz w:val="28"/>
          <w:szCs w:val="28"/>
        </w:rPr>
        <w:t>Виходячи з</w:t>
      </w:r>
      <w:r w:rsidRPr="00943AA3">
        <w:rPr>
          <w:rFonts w:ascii="Times New Roman" w:hAnsi="Times New Roman" w:cs="Times New Roman"/>
          <w:sz w:val="28"/>
          <w:szCs w:val="28"/>
        </w:rPr>
        <w:t xml:space="preserve"> аналіз</w:t>
      </w:r>
      <w:r w:rsidR="00EE15A7">
        <w:rPr>
          <w:rFonts w:ascii="Times New Roman" w:hAnsi="Times New Roman" w:cs="Times New Roman"/>
          <w:sz w:val="28"/>
          <w:szCs w:val="28"/>
        </w:rPr>
        <w:t>у</w:t>
      </w:r>
      <w:r w:rsidRPr="00943AA3">
        <w:rPr>
          <w:rFonts w:ascii="Times New Roman" w:hAnsi="Times New Roman" w:cs="Times New Roman"/>
          <w:sz w:val="28"/>
          <w:szCs w:val="28"/>
        </w:rPr>
        <w:t xml:space="preserve"> WRI (World Resources Institute), у багатьох регіонах з високим рівнем «водного стресу» дата-центри споживають до 10-15% місцевих запасів води в період пікових навантажень. Технологічна інтеграція перетворила ЦОД на об'єкти, що формують мікроклімат (теплові острови) та створюють постійне шумове навантаження, що робить їх елементами, які неможливо відокремити від життєдіяльності міста.</w:t>
      </w:r>
    </w:p>
    <w:p w14:paraId="01FF25E5" w14:textId="77777777" w:rsidR="00E65390" w:rsidRDefault="00943AA3" w:rsidP="00E65390">
      <w:pPr>
        <w:pStyle w:val="af"/>
        <w:spacing w:line="360" w:lineRule="auto"/>
        <w:ind w:firstLine="709"/>
        <w:jc w:val="both"/>
        <w:rPr>
          <w:rFonts w:ascii="Times New Roman" w:hAnsi="Times New Roman" w:cs="Times New Roman"/>
          <w:b/>
          <w:bCs/>
          <w:sz w:val="28"/>
          <w:szCs w:val="28"/>
        </w:rPr>
      </w:pPr>
      <w:r w:rsidRPr="00943AA3">
        <w:rPr>
          <w:rFonts w:ascii="Times New Roman" w:hAnsi="Times New Roman" w:cs="Times New Roman"/>
          <w:sz w:val="28"/>
          <w:szCs w:val="28"/>
        </w:rPr>
        <w:t xml:space="preserve">Еволюція дата-центрів пройшла шлях від пасивного споживача ресурсів до «енергетичного серця» (або «енергетичної чорної діри») міського метаболізму. Кожен етап розвитку — від мейнфреймів до гіпермасштабних масивів — супроводжувався посиленням антропогенного впливу на біосферу. Сьогодні ЦОД не можуть розглядатись як зовнішні, ізольовані об'єкти. Вони є невід'ємною, проте деструктивною частиною сучасної урбаністики, що функціонує в умовах дефіциту ресурсів. Перехід до моделі «цифрового гомеостазу», де інфраструктура працює в симбіозі з екосистемою міста (наприклад, через рекуперацію тепла), є не просто технічною порадою, а </w:t>
      </w:r>
      <w:r w:rsidRPr="00943AA3">
        <w:rPr>
          <w:rFonts w:ascii="Times New Roman" w:hAnsi="Times New Roman" w:cs="Times New Roman"/>
          <w:sz w:val="28"/>
          <w:szCs w:val="28"/>
        </w:rPr>
        <w:lastRenderedPageBreak/>
        <w:t>критичною умовою виживання екосистем у світі, де цифрові потоки випереджають здатність планети до самовідновлення.</w:t>
      </w:r>
      <w:r w:rsidR="00791E25">
        <w:rPr>
          <w:rFonts w:ascii="Times New Roman" w:hAnsi="Times New Roman" w:cs="Times New Roman"/>
          <w:sz w:val="28"/>
          <w:szCs w:val="28"/>
        </w:rPr>
        <w:br/>
      </w:r>
      <w:r w:rsidR="00F90DAA">
        <w:rPr>
          <w:rFonts w:ascii="Times New Roman" w:hAnsi="Times New Roman" w:cs="Times New Roman"/>
          <w:sz w:val="28"/>
          <w:szCs w:val="28"/>
        </w:rPr>
        <w:br/>
      </w:r>
      <w:r w:rsidR="008821B9">
        <w:rPr>
          <w:rFonts w:ascii="Times New Roman" w:hAnsi="Times New Roman" w:cs="Times New Roman"/>
          <w:sz w:val="28"/>
          <w:szCs w:val="28"/>
        </w:rPr>
        <w:t xml:space="preserve"> </w:t>
      </w:r>
      <w:r w:rsidR="008821B9">
        <w:rPr>
          <w:rFonts w:ascii="Times New Roman" w:hAnsi="Times New Roman" w:cs="Times New Roman"/>
          <w:sz w:val="28"/>
          <w:szCs w:val="28"/>
        </w:rPr>
        <w:tab/>
      </w:r>
      <w:r w:rsidR="008821B9" w:rsidRPr="00321258">
        <w:rPr>
          <w:rFonts w:ascii="Times New Roman" w:hAnsi="Times New Roman" w:cs="Times New Roman"/>
          <w:b/>
          <w:bCs/>
          <w:sz w:val="28"/>
          <w:szCs w:val="28"/>
        </w:rPr>
        <w:t>1.2 Концепція «Take-Make-Waste» та виклики лінійної економіки.</w:t>
      </w:r>
    </w:p>
    <w:p w14:paraId="0D40304D" w14:textId="77777777" w:rsidR="00E65390" w:rsidRDefault="0086386D" w:rsidP="00E65390">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86386D">
        <w:rPr>
          <w:rFonts w:ascii="Times New Roman" w:hAnsi="Times New Roman" w:cs="Times New Roman"/>
          <w:sz w:val="28"/>
          <w:szCs w:val="28"/>
        </w:rPr>
        <w:t>учасний дискурс, що формує уявлення про цифрову економіку, тривалий час культивував парадигму «дематеріалізації» виробничих процесів, де обробка та передача інформації сприймаються як майже ефірний, позбавлений фізичного обтяження процес. Проте аналіз життєвого циклу інфраструктури центрів обробки даних (ЦОД) викриває фундаментальний когнітивний дисонанс: за метафорою «хмари» прихована жорстка термодинамічна реальність. Кожна ітерація запиту, кожен терабайт переданого трафіку конвертується у вивільнення колосальної кількості ентропії, що проявляється як теплова енергія, та у виснаження матеріальних ресурсів.</w:t>
      </w:r>
    </w:p>
    <w:p w14:paraId="60E15F65" w14:textId="77777777" w:rsidR="00E65390" w:rsidRDefault="0086386D" w:rsidP="00E65390">
      <w:pPr>
        <w:pStyle w:val="af"/>
        <w:spacing w:line="360" w:lineRule="auto"/>
        <w:ind w:firstLine="709"/>
        <w:jc w:val="both"/>
        <w:rPr>
          <w:rFonts w:ascii="Times New Roman" w:hAnsi="Times New Roman" w:cs="Times New Roman"/>
          <w:sz w:val="28"/>
          <w:szCs w:val="28"/>
        </w:rPr>
      </w:pPr>
      <w:r w:rsidRPr="0086386D">
        <w:rPr>
          <w:rFonts w:ascii="Times New Roman" w:hAnsi="Times New Roman" w:cs="Times New Roman"/>
          <w:sz w:val="28"/>
          <w:szCs w:val="28"/>
        </w:rPr>
        <w:t>Ми повинні визнати, що цифрова економіка функціонує на виключно матеріальному субстраті — кремнієвих пластинах, рідкісних металах та полімерних сполуках, життєвий цикл яких у межах індустріальних серверних ферм є надзвичайно коротким. Цей «невагомий» світ потребує безперервного потоку екзергії, яка в процесі обчислень незворотно деградує. Ігнорування фізичного базису цифрових процесів призвело до ілюзії, ніби інтернет є «зеленим» за замовчуванням. Натомість, ми спостерігаємо експоненційне зростання ресурсоємності, де цифрова надлишковість (зберігання даних, що ніколи не будуть використані) стає прихованим драйвером виснаження біосферних ресурсів. Питання, яке потребує наукової рефлексії, звучить так: чи здатна глобальна економіка підтримувати інтенсивний розвиток цифрової інфраструктури, якщо кожна одиниця обчислювальної потужності вимагає пропорційного збільшення фізичного навантаження на планетарні екосистеми? Наразі відповідь свідчить про глибоку термодинамічну кризу, яку ми намагаємося нівелювати лише оптимізацією алгоритмів, ігноруючи вичерпність фізичного ресурсу.</w:t>
      </w:r>
    </w:p>
    <w:p w14:paraId="6D82D774" w14:textId="77777777" w:rsidR="00E65390" w:rsidRDefault="00D67868" w:rsidP="00E65390">
      <w:pPr>
        <w:pStyle w:val="af"/>
        <w:spacing w:line="360" w:lineRule="auto"/>
        <w:ind w:firstLine="709"/>
        <w:jc w:val="both"/>
        <w:rPr>
          <w:rFonts w:ascii="Times New Roman" w:hAnsi="Times New Roman" w:cs="Times New Roman"/>
          <w:sz w:val="28"/>
          <w:szCs w:val="28"/>
        </w:rPr>
      </w:pPr>
      <w:r w:rsidRPr="00D67868">
        <w:rPr>
          <w:rFonts w:ascii="Times New Roman" w:hAnsi="Times New Roman" w:cs="Times New Roman"/>
          <w:sz w:val="28"/>
          <w:szCs w:val="28"/>
        </w:rPr>
        <w:lastRenderedPageBreak/>
        <w:t>Уявлення про інтернет як про «нематеріальну» сферу, що функціонує в ефірі, є однією з найнебезпечніших когнітивних пасток сучасності. Аналіз енергетичного балансу ІТ-сектору свідчить про зворотне: цифрова інфраструктура є найбільш ресурсоємним індустріальним комплексом, що розвивається за лінійною моделлю «Take-Make-Waste». Станом на 2025 рік, центри обробки даних (ЦОД) споживають понад 460 ТВт·год електроенергії на рік, і за прогнозами Міжнародного енергетичного агентства (IEA), цей показник може подвоїтися до 2030 року, випереджаючи приріст генерації з відновлюваних джерел.</w:t>
      </w:r>
    </w:p>
    <w:p w14:paraId="43E21634" w14:textId="77777777" w:rsidR="00E65390" w:rsidRDefault="00D67868" w:rsidP="00E65390">
      <w:pPr>
        <w:pStyle w:val="af"/>
        <w:spacing w:line="360" w:lineRule="auto"/>
        <w:ind w:firstLine="709"/>
        <w:jc w:val="both"/>
        <w:rPr>
          <w:rFonts w:ascii="Times New Roman" w:hAnsi="Times New Roman" w:cs="Times New Roman"/>
          <w:sz w:val="28"/>
          <w:szCs w:val="28"/>
        </w:rPr>
      </w:pPr>
      <w:r w:rsidRPr="00D67868">
        <w:rPr>
          <w:rFonts w:ascii="Times New Roman" w:hAnsi="Times New Roman" w:cs="Times New Roman"/>
          <w:sz w:val="28"/>
          <w:szCs w:val="28"/>
        </w:rPr>
        <w:t>Минулий міф про «зелений інтернет» ігнорує фізичні витрати на кожну транзакцію. Порівняльна статистика показує, що викиди CO2 від ІТ-сектору вже сьогодні співмірні з викидами всієї світової авіаційної галузі, становлячи приблизно 2-3% від глобальних антропогенних викидів, проте, на відміну від авіації, цей сектор демонструє експоненційне зростання. Особливу загрозу становить явище «цифрового ожиріння»: за оцінками аналітиків IBM, понад 60-80% даних, що зберігаються у хмарних сховищах, є «темними даними» — інформацією, яка не використовується жодного разу після запису, проте продовжує споживати енергію для підтримки температурного режиму серверів та постійної доступності масивів пам’яті.</w:t>
      </w:r>
    </w:p>
    <w:p w14:paraId="5FEC6E58" w14:textId="77777777" w:rsidR="00E65390" w:rsidRDefault="00D67868" w:rsidP="00E65390">
      <w:pPr>
        <w:pStyle w:val="af"/>
        <w:spacing w:line="360" w:lineRule="auto"/>
        <w:ind w:firstLine="709"/>
        <w:jc w:val="both"/>
        <w:rPr>
          <w:rFonts w:ascii="Times New Roman" w:hAnsi="Times New Roman" w:cs="Times New Roman"/>
          <w:sz w:val="28"/>
          <w:szCs w:val="28"/>
        </w:rPr>
      </w:pPr>
      <w:r w:rsidRPr="00D67868">
        <w:rPr>
          <w:rFonts w:ascii="Times New Roman" w:hAnsi="Times New Roman" w:cs="Times New Roman"/>
          <w:sz w:val="28"/>
          <w:szCs w:val="28"/>
        </w:rPr>
        <w:t>Така модель є класичним втіленням лінійної економіки: ресурси вилучаються, перетворюються на енергетичну роботу, після чого незворотно деградують у вигляді низькопотенційного тепла, що скидається в атмосферу. Відсутність механізмів зворотного зв'язку між споживанням трафіку та енергетичною ціною цього споживання створює ілюзію «безкоштовного» сервісу, що стимулює надлишкову генерацію даних і, відповідно, неконтрольований приріст енергетичних потужностей.</w:t>
      </w:r>
    </w:p>
    <w:p w14:paraId="1C4777EC" w14:textId="77777777" w:rsidR="00E65390" w:rsidRDefault="00310C93" w:rsidP="00E65390">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310C93">
        <w:rPr>
          <w:rFonts w:ascii="Times New Roman" w:hAnsi="Times New Roman" w:cs="Times New Roman"/>
          <w:sz w:val="28"/>
          <w:szCs w:val="28"/>
        </w:rPr>
        <w:t>адмірне резервування потужностей</w:t>
      </w:r>
      <w:r>
        <w:rPr>
          <w:rFonts w:ascii="Times New Roman" w:hAnsi="Times New Roman" w:cs="Times New Roman"/>
          <w:sz w:val="28"/>
          <w:szCs w:val="28"/>
        </w:rPr>
        <w:t xml:space="preserve"> </w:t>
      </w:r>
      <w:r w:rsidR="00605894" w:rsidRPr="00605894">
        <w:rPr>
          <w:rFonts w:ascii="Times New Roman" w:hAnsi="Times New Roman" w:cs="Times New Roman"/>
          <w:sz w:val="28"/>
          <w:szCs w:val="28"/>
        </w:rPr>
        <w:t xml:space="preserve">є наслідком стратегії мінімізації ризиків, коли корпорації орендують або створюють потужності, значно більші за реальні потреби. У галузі дата-центрів середня утилізація серверів рідко перевищує 15–20%. Решта 80% обчислювальних ресурсів перебувають у режимі </w:t>
      </w:r>
      <w:r w:rsidR="00605894" w:rsidRPr="00605894">
        <w:rPr>
          <w:rFonts w:ascii="Times New Roman" w:hAnsi="Times New Roman" w:cs="Times New Roman"/>
          <w:sz w:val="28"/>
          <w:szCs w:val="28"/>
        </w:rPr>
        <w:lastRenderedPageBreak/>
        <w:t>очікування, споживаючи енергію на підтримку функціонування (охолодження, живлення систем управління), не виконуючи жодної корисної роботи.</w:t>
      </w:r>
    </w:p>
    <w:p w14:paraId="111565D7" w14:textId="77777777" w:rsidR="00E65390" w:rsidRDefault="00605894" w:rsidP="00E65390">
      <w:pPr>
        <w:pStyle w:val="af"/>
        <w:spacing w:line="360" w:lineRule="auto"/>
        <w:ind w:firstLine="709"/>
        <w:jc w:val="both"/>
        <w:rPr>
          <w:rFonts w:ascii="Times New Roman" w:hAnsi="Times New Roman" w:cs="Times New Roman"/>
          <w:sz w:val="28"/>
          <w:szCs w:val="28"/>
        </w:rPr>
      </w:pPr>
      <w:r w:rsidRPr="00605894">
        <w:rPr>
          <w:rFonts w:ascii="Times New Roman" w:hAnsi="Times New Roman" w:cs="Times New Roman"/>
          <w:sz w:val="28"/>
          <w:szCs w:val="28"/>
        </w:rPr>
        <w:t>Це не просто неефективність — це свідома «надлишковість», закладена в архітектуру хмарних сервісів для забезпечення миттєвої реакції на будь-який сплеск трафіку. З екологічної точки зору, це означає, що понад 70% виробничого ресурсу та енергії, спожитої в процесі експлуатації, спрямовуються в порожнечу. Ми експлуатуємо мільйони серверів, які стоять увімкненими 24/7 заради гіпотетичних піків, що трапляються лічені години на рік. Це явище «цифрового ожиріння» поширюється і на дані: зберігання колосальних масивів неструктурованої інформації на енергоємних носіях вимагає постійного енергопостачання, хоча 90% цих даних ніколи не будуть запитані. Така архітектурна стратегія є проявом «ресурсного марнотратства», де прагнення до бездоганної швидкості доступу до даних призводить до виснаження енергетичних ресурсів планети заради підтримки штучно створеної надлишковості. Це — фундамент сучасної цифрової кризи, яка потребує перегляду самих принципів архітектури «запиту-відповіді» на користь більш ощадливих моделей споживання.</w:t>
      </w:r>
    </w:p>
    <w:p w14:paraId="4F89F7A5" w14:textId="77777777" w:rsidR="007B6BB7" w:rsidRDefault="00BC1744" w:rsidP="00E65390">
      <w:pPr>
        <w:pStyle w:val="af"/>
        <w:spacing w:line="360" w:lineRule="auto"/>
        <w:ind w:firstLine="709"/>
        <w:jc w:val="both"/>
        <w:rPr>
          <w:rFonts w:ascii="Times New Roman" w:hAnsi="Times New Roman" w:cs="Times New Roman"/>
          <w:sz w:val="28"/>
          <w:szCs w:val="28"/>
          <w:lang w:eastAsia="uk-UA"/>
        </w:rPr>
      </w:pPr>
      <w:r w:rsidRPr="00BC1744">
        <w:rPr>
          <w:rFonts w:ascii="Times New Roman" w:hAnsi="Times New Roman" w:cs="Times New Roman"/>
          <w:sz w:val="28"/>
          <w:szCs w:val="28"/>
        </w:rPr>
        <w:t xml:space="preserve">Фундаментальною помилкою сучасної цифрової цивілізації є ігнорування законів термодинаміки в контексті енергетичного забезпечення ІТ-сектору. Експоненційне зростання обчислювальних потужностей — так званий «закон прискорення» — вступає у прямий конфлікт із фізичними межами планетарних ресурсів. Дата-центри, споживаючи енергію у геометричній прогресії, заганяють самі себе у глухий кут: вони потребують все більших обсягів електроенергії для забезпечення стабільності своїх систем, що, своєю чергою, вимагає розширення генерації, яка вже досягла своєї екологічної межі. Цей процес є проявом «ресурсної пастки», де кожне наступне покоління обладнання, навіть за умови вищої енергоефективності, провокує ще більший сумарний попит на енергію через приховуваний ефект Джевонса (ефективність стимулює споживання). </w:t>
      </w:r>
      <w:r>
        <w:rPr>
          <w:rFonts w:ascii="Times New Roman" w:hAnsi="Times New Roman" w:cs="Times New Roman"/>
          <w:sz w:val="28"/>
          <w:szCs w:val="28"/>
        </w:rPr>
        <w:br/>
        <w:t xml:space="preserve"> </w:t>
      </w:r>
      <w:r>
        <w:rPr>
          <w:rFonts w:ascii="Times New Roman" w:hAnsi="Times New Roman" w:cs="Times New Roman"/>
          <w:sz w:val="28"/>
          <w:szCs w:val="28"/>
        </w:rPr>
        <w:tab/>
      </w:r>
      <w:r w:rsidRPr="00BC1744">
        <w:rPr>
          <w:rFonts w:ascii="Times New Roman" w:hAnsi="Times New Roman" w:cs="Times New Roman"/>
          <w:sz w:val="28"/>
          <w:szCs w:val="28"/>
        </w:rPr>
        <w:t xml:space="preserve">Ми наближаємося до точки біфуркації, де енергетичні потреби серверних масивів почнуть виснажувати відновлювальні можливості біосфери та потенціал </w:t>
      </w:r>
      <w:r w:rsidRPr="00BC1744">
        <w:rPr>
          <w:rFonts w:ascii="Times New Roman" w:hAnsi="Times New Roman" w:cs="Times New Roman"/>
          <w:sz w:val="28"/>
          <w:szCs w:val="28"/>
        </w:rPr>
        <w:lastRenderedPageBreak/>
        <w:t>енергомереж швидше, ніж ми зможемо їх модернізувати. Це еволюційна тупиковість: система, що прагне до нескінченного розширення на фундаменті скінченних природних ресурсів, приречена на колапс. Продовження стратегії нарощування потужностей без радикального обмеження споживання даних та оптимізації архітектур є прямою дорогою до системного енергетичного виснаження, де цифрова інфраструктура виступить каталізатором масштабної екологічної катастрофи.</w:t>
      </w:r>
      <w:r>
        <w:rPr>
          <w:rFonts w:ascii="Times New Roman" w:hAnsi="Times New Roman" w:cs="Times New Roman"/>
          <w:noProof/>
          <w:sz w:val="28"/>
          <w:szCs w:val="28"/>
        </w:rPr>
        <w:drawing>
          <wp:inline distT="0" distB="0" distL="0" distR="0" wp14:anchorId="621D45CC" wp14:editId="503D933B">
            <wp:extent cx="5648325" cy="3767308"/>
            <wp:effectExtent l="0" t="0" r="0" b="5080"/>
            <wp:docPr id="145639823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398230" name="Рисунок 1456398230"/>
                    <pic:cNvPicPr/>
                  </pic:nvPicPr>
                  <pic:blipFill>
                    <a:blip r:embed="rId8">
                      <a:extLst>
                        <a:ext uri="{28A0092B-C50C-407E-A947-70E740481C1C}">
                          <a14:useLocalDpi xmlns:a14="http://schemas.microsoft.com/office/drawing/2010/main" val="0"/>
                        </a:ext>
                      </a:extLst>
                    </a:blip>
                    <a:stretch>
                      <a:fillRect/>
                    </a:stretch>
                  </pic:blipFill>
                  <pic:spPr>
                    <a:xfrm>
                      <a:off x="0" y="0"/>
                      <a:ext cx="5688284" cy="3793959"/>
                    </a:xfrm>
                    <a:prstGeom prst="rect">
                      <a:avLst/>
                    </a:prstGeom>
                  </pic:spPr>
                </pic:pic>
              </a:graphicData>
            </a:graphic>
          </wp:inline>
        </w:drawing>
      </w:r>
      <w:r w:rsidR="002749BB">
        <w:rPr>
          <w:rFonts w:ascii="Times New Roman" w:hAnsi="Times New Roman" w:cs="Times New Roman"/>
          <w:sz w:val="28"/>
          <w:szCs w:val="28"/>
        </w:rPr>
        <w:br/>
      </w:r>
      <w:r w:rsidR="002749BB" w:rsidRPr="00CB2391">
        <w:rPr>
          <w:rFonts w:ascii="Times New Roman" w:hAnsi="Times New Roman" w:cs="Times New Roman"/>
          <w:sz w:val="28"/>
          <w:szCs w:val="28"/>
          <w:lang w:eastAsia="uk-UA"/>
        </w:rPr>
        <w:t>Рис</w:t>
      </w:r>
      <w:r w:rsidR="006D0FA9">
        <w:rPr>
          <w:rFonts w:ascii="Times New Roman" w:hAnsi="Times New Roman" w:cs="Times New Roman"/>
          <w:sz w:val="28"/>
          <w:szCs w:val="28"/>
          <w:lang w:eastAsia="uk-UA"/>
        </w:rPr>
        <w:t>.</w:t>
      </w:r>
      <w:r w:rsidR="002749BB" w:rsidRPr="00CB2391">
        <w:rPr>
          <w:rFonts w:ascii="Times New Roman" w:hAnsi="Times New Roman" w:cs="Times New Roman"/>
          <w:sz w:val="28"/>
          <w:szCs w:val="28"/>
          <w:lang w:eastAsia="uk-UA"/>
        </w:rPr>
        <w:t xml:space="preserve"> 1.1. </w:t>
      </w:r>
      <w:bookmarkStart w:id="0" w:name="_Hlk231987308"/>
      <w:r w:rsidR="002E61FD" w:rsidRPr="002E61FD">
        <w:rPr>
          <w:rFonts w:ascii="Times New Roman" w:hAnsi="Times New Roman" w:cs="Times New Roman"/>
          <w:sz w:val="28"/>
          <w:szCs w:val="28"/>
          <w:lang w:eastAsia="uk-UA"/>
        </w:rPr>
        <w:t>Графік "Ефект Джевонса" (Jevons Paradox)</w:t>
      </w:r>
      <w:r w:rsidR="002E61FD">
        <w:rPr>
          <w:rFonts w:ascii="Times New Roman" w:hAnsi="Times New Roman" w:cs="Times New Roman"/>
          <w:sz w:val="28"/>
          <w:szCs w:val="28"/>
          <w:lang w:eastAsia="uk-UA"/>
        </w:rPr>
        <w:br/>
      </w:r>
      <w:r w:rsidR="002E61FD" w:rsidRPr="002E61FD">
        <w:rPr>
          <w:rFonts w:ascii="Times New Roman" w:hAnsi="Times New Roman" w:cs="Times New Roman"/>
          <w:sz w:val="28"/>
          <w:szCs w:val="28"/>
          <w:lang w:eastAsia="uk-UA"/>
        </w:rPr>
        <w:t>Кореляція між ефективністю енергоспоживання (PUE) та сумарним енергоспоживанням сектору</w:t>
      </w:r>
    </w:p>
    <w:p w14:paraId="77D5062B" w14:textId="77777777" w:rsidR="007B6BB7" w:rsidRDefault="005E7019" w:rsidP="00E65390">
      <w:pPr>
        <w:pStyle w:val="af"/>
        <w:spacing w:line="360" w:lineRule="auto"/>
        <w:ind w:firstLine="709"/>
        <w:jc w:val="both"/>
        <w:rPr>
          <w:rFonts w:ascii="Times New Roman" w:hAnsi="Times New Roman" w:cs="Times New Roman"/>
          <w:sz w:val="28"/>
          <w:szCs w:val="28"/>
          <w:lang w:eastAsia="uk-UA"/>
        </w:rPr>
      </w:pPr>
      <w:r w:rsidRPr="005E7019">
        <w:rPr>
          <w:rFonts w:ascii="Times New Roman" w:hAnsi="Times New Roman" w:cs="Times New Roman"/>
          <w:sz w:val="28"/>
          <w:szCs w:val="28"/>
          <w:lang w:eastAsia="uk-UA"/>
        </w:rPr>
        <w:t>Впровадження метрики PUE (Power Usage Effectiveness), розробленої The Green Grid у 2007 році як відношення загальної споживаної енергії дата-центру до енергії, спожитої безпосередньо ІТ-обладнанням, створило ілюзію прогресу в екологічній відповідальності галузі. Проте, аналіз даних Uptime Institute свідчить, що середня PUE в індустрії протягом останнього десятиліття стагнує на рівні 1.58–1.60. Використання цієї метрики як єдиного індикатора «екологічності» є методологічною маніпуляцією, яка нівелює абсолютні показники екологічної деградації.</w:t>
      </w:r>
      <w:r w:rsidR="007B6BB7">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ab/>
      </w:r>
      <w:r w:rsidRPr="005E7019">
        <w:rPr>
          <w:rFonts w:ascii="Times New Roman" w:hAnsi="Times New Roman" w:cs="Times New Roman"/>
          <w:sz w:val="28"/>
          <w:szCs w:val="28"/>
          <w:lang w:eastAsia="uk-UA"/>
        </w:rPr>
        <w:t xml:space="preserve">Головний парадокс PUE полягає у </w:t>
      </w:r>
      <w:r w:rsidRPr="005E7019">
        <w:rPr>
          <w:rFonts w:ascii="Times New Roman" w:hAnsi="Times New Roman" w:cs="Times New Roman"/>
          <w:sz w:val="28"/>
          <w:szCs w:val="28"/>
          <w:lang w:eastAsia="uk-UA"/>
        </w:rPr>
        <w:lastRenderedPageBreak/>
        <w:t>відсутності кореляції з абсолютним енергоспоживанням. Дата-центр із PUE 1.2, що обслуговує гіпермасштабні навантаження у 100 МВт, споживає 120 МВт, що значно більше за об'єкти з меншою «ефективністю», але нижчою потужністю. Більше того, PUE ігнорує «вуглецевий слід»  виробництва серверного заліза, яке оновлюється кожні 3–5 років, створюючи близько 62 млн тонн E-waste щорічно. Метрика також повністю ігнорує ефективність самого коду та рівень утилізації серверів, який у багатьох індустріальних середовищах коливається лише в межах 10–20%.</w:t>
      </w:r>
    </w:p>
    <w:p w14:paraId="24716BA4" w14:textId="77777777" w:rsidR="007B6BB7" w:rsidRDefault="005E7019" w:rsidP="00E65390">
      <w:pPr>
        <w:pStyle w:val="af"/>
        <w:spacing w:line="360" w:lineRule="auto"/>
        <w:ind w:firstLine="709"/>
        <w:jc w:val="both"/>
        <w:rPr>
          <w:rFonts w:ascii="Times New Roman" w:hAnsi="Times New Roman" w:cs="Times New Roman"/>
          <w:sz w:val="28"/>
          <w:szCs w:val="28"/>
          <w:lang w:eastAsia="uk-UA"/>
        </w:rPr>
      </w:pPr>
      <w:r w:rsidRPr="005E7019">
        <w:rPr>
          <w:rFonts w:ascii="Times New Roman" w:hAnsi="Times New Roman" w:cs="Times New Roman"/>
          <w:sz w:val="28"/>
          <w:szCs w:val="28"/>
          <w:lang w:eastAsia="uk-UA"/>
        </w:rPr>
        <w:t>Для комплексної оцінки впливу необхідно інтегрувати показники WUE (Water Usage Effectiveness) та CUE (Carbon Usage Effectiveness):</w:t>
      </w:r>
    </w:p>
    <w:p w14:paraId="7A65C487" w14:textId="13119442" w:rsidR="007B6BB7" w:rsidRDefault="005E7019" w:rsidP="00E65390">
      <w:pPr>
        <w:pStyle w:val="af"/>
        <w:spacing w:line="360" w:lineRule="auto"/>
        <w:ind w:firstLine="709"/>
        <w:jc w:val="both"/>
        <w:rPr>
          <w:rFonts w:ascii="Times New Roman" w:hAnsi="Times New Roman" w:cs="Times New Roman"/>
          <w:sz w:val="28"/>
          <w:szCs w:val="28"/>
          <w:lang w:eastAsia="uk-UA"/>
        </w:rPr>
      </w:pPr>
      <w:r w:rsidRPr="00EC42ED">
        <w:rPr>
          <w:rFonts w:ascii="Times New Roman" w:hAnsi="Times New Roman" w:cs="Times New Roman"/>
          <w:sz w:val="28"/>
          <w:szCs w:val="28"/>
          <w:lang w:eastAsia="uk-UA"/>
        </w:rPr>
        <w:t>1.Водоспоживання:</w:t>
      </w:r>
      <w:r w:rsidRPr="005E7019">
        <w:rPr>
          <w:rFonts w:ascii="Times New Roman" w:hAnsi="Times New Roman" w:cs="Times New Roman"/>
          <w:sz w:val="28"/>
          <w:szCs w:val="28"/>
          <w:lang w:eastAsia="uk-UA"/>
        </w:rPr>
        <w:t> Системи випарного охолодження в ЦОД потребують в середньому 2.0–3.0 літри води на 1 кВт·год спожитої енергії. При середньому споживанні гіпермасштабного ЦОД у 100 МВт, добове вилучення води з місцевих джерел може сягати 5–7 мільйонів літрів, що в умовах кліматичних змін 2025–2030 років провокує локальні гідрологічні кризи та деградацію ґрунтових вод.</w:t>
      </w:r>
    </w:p>
    <w:p w14:paraId="34D650AA" w14:textId="77777777" w:rsidR="007B6BB7" w:rsidRDefault="007B6BB7" w:rsidP="00E65390">
      <w:pPr>
        <w:pStyle w:val="af"/>
        <w:spacing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2. </w:t>
      </w:r>
      <w:r w:rsidR="005E7019" w:rsidRPr="00EC42ED">
        <w:rPr>
          <w:rFonts w:ascii="Times New Roman" w:hAnsi="Times New Roman" w:cs="Times New Roman"/>
          <w:sz w:val="28"/>
          <w:szCs w:val="28"/>
          <w:lang w:eastAsia="uk-UA"/>
        </w:rPr>
        <w:t>Викиди CO2:</w:t>
      </w:r>
      <w:r w:rsidR="005E7019" w:rsidRPr="005E7019">
        <w:rPr>
          <w:rFonts w:ascii="Times New Roman" w:hAnsi="Times New Roman" w:cs="Times New Roman"/>
          <w:sz w:val="28"/>
          <w:szCs w:val="28"/>
          <w:lang w:eastAsia="uk-UA"/>
        </w:rPr>
        <w:t> За оцінками IEA, ІТ-сектор споживає понад 460 ТВт·год електроенергії (близько 2% світового балансу). При глобальному середньому коефіцієнті інтенсивності викидів, це генерує близько 800–1000 мільйонів тонн CO2-еквіваленту щороку.</w:t>
      </w:r>
    </w:p>
    <w:p w14:paraId="2FD06D8A" w14:textId="77777777" w:rsidR="007B6BB7" w:rsidRDefault="005E7019" w:rsidP="007B6BB7">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uk-UA"/>
        </w:rPr>
        <w:t>3.</w:t>
      </w:r>
      <w:r w:rsidRPr="00EC42ED">
        <w:rPr>
          <w:rFonts w:ascii="Times New Roman" w:hAnsi="Times New Roman" w:cs="Times New Roman"/>
          <w:sz w:val="28"/>
          <w:szCs w:val="28"/>
          <w:lang w:eastAsia="uk-UA"/>
        </w:rPr>
        <w:t>Енергетичний дефіцит:</w:t>
      </w:r>
      <w:r w:rsidRPr="005E7019">
        <w:rPr>
          <w:rFonts w:ascii="Times New Roman" w:hAnsi="Times New Roman" w:cs="Times New Roman"/>
          <w:sz w:val="28"/>
          <w:szCs w:val="28"/>
          <w:lang w:eastAsia="uk-UA"/>
        </w:rPr>
        <w:t> Кожне 1% підвищення глобального трафіку даних корелює зі збільшенням навантаження на енергосистеми на 0.5–0.7%. Це призводить до витіснення критичних споживачів з енергоринку через пріоритетність тарифів ЦОД.</w:t>
      </w:r>
    </w:p>
    <w:p w14:paraId="3B22FFE4" w14:textId="77777777" w:rsidR="007B6BB7" w:rsidRDefault="005E7019" w:rsidP="007B6BB7">
      <w:pPr>
        <w:pStyle w:val="af"/>
        <w:spacing w:line="360" w:lineRule="auto"/>
        <w:ind w:firstLine="709"/>
        <w:jc w:val="both"/>
        <w:rPr>
          <w:rFonts w:ascii="Times New Roman" w:hAnsi="Times New Roman" w:cs="Times New Roman"/>
          <w:sz w:val="28"/>
          <w:szCs w:val="28"/>
          <w:lang w:eastAsia="uk-UA"/>
        </w:rPr>
      </w:pPr>
      <w:r w:rsidRPr="005E7019">
        <w:rPr>
          <w:rFonts w:ascii="Times New Roman" w:hAnsi="Times New Roman" w:cs="Times New Roman"/>
          <w:sz w:val="28"/>
          <w:szCs w:val="28"/>
          <w:lang w:eastAsia="uk-UA"/>
        </w:rPr>
        <w:t xml:space="preserve">Застосування PUE фактично легітимізує «ефект Джевонса» (Jevons paradox): підвищення енергоефективності інфраструктури (зниження PUE) призводить до здешевлення вартості обчислень, що стимулює подальше нарощування потужностей і, зрештою, веде до зростання сумарного споживання енергії. </w:t>
      </w:r>
      <w:r w:rsidR="00047097">
        <w:rPr>
          <w:rFonts w:ascii="Times New Roman" w:hAnsi="Times New Roman" w:cs="Times New Roman"/>
          <w:sz w:val="28"/>
          <w:szCs w:val="28"/>
          <w:lang w:eastAsia="uk-UA"/>
        </w:rPr>
        <w:t>Як наслідок</w:t>
      </w:r>
      <w:r w:rsidRPr="005E7019">
        <w:rPr>
          <w:rFonts w:ascii="Times New Roman" w:hAnsi="Times New Roman" w:cs="Times New Roman"/>
          <w:sz w:val="28"/>
          <w:szCs w:val="28"/>
          <w:lang w:eastAsia="uk-UA"/>
        </w:rPr>
        <w:t xml:space="preserve">, PUE виконує роль «зеленого камуфляжу», дозволяючи індустрії приховувати системну ентропію за цифрами математичного </w:t>
      </w:r>
      <w:r w:rsidRPr="005E7019">
        <w:rPr>
          <w:rFonts w:ascii="Times New Roman" w:hAnsi="Times New Roman" w:cs="Times New Roman"/>
          <w:sz w:val="28"/>
          <w:szCs w:val="28"/>
          <w:lang w:eastAsia="uk-UA"/>
        </w:rPr>
        <w:lastRenderedPageBreak/>
        <w:t>відношення, які не відображають реальних втрат біорізноманіття, зниження рівня ґрунтових вод або виснаження мінерально-сировинної бази. Цей інструментальний нігілізм у вимірюванні наслідків є фундаментальним бар'єром для переходу до сталого функціонування, що вимагає негайного перегляду екологічних стандартів проектування інфраструктури.</w:t>
      </w:r>
      <w:bookmarkEnd w:id="0"/>
    </w:p>
    <w:p w14:paraId="0DA14167" w14:textId="77777777" w:rsidR="007B6BB7" w:rsidRDefault="005D2748" w:rsidP="007B6BB7">
      <w:pPr>
        <w:pStyle w:val="af"/>
        <w:spacing w:line="360" w:lineRule="auto"/>
        <w:ind w:firstLine="709"/>
        <w:jc w:val="both"/>
        <w:rPr>
          <w:rFonts w:ascii="Times New Roman" w:hAnsi="Times New Roman" w:cs="Times New Roman"/>
          <w:sz w:val="28"/>
          <w:szCs w:val="28"/>
        </w:rPr>
      </w:pPr>
      <w:r w:rsidRPr="005D2748">
        <w:rPr>
          <w:rFonts w:ascii="Times New Roman" w:hAnsi="Times New Roman" w:cs="Times New Roman"/>
          <w:sz w:val="28"/>
          <w:szCs w:val="28"/>
        </w:rPr>
        <w:t xml:space="preserve">Сучасний ІТ-сектор опинився в пастці структурної інерції, де модель економічного успіху фундаментально суперечить принципам екологічної сталості через домінування стратегій короткострокового прибутку. Інвестиційні цикли (CapEx) у будівництво гіпермасштабних дата-центрів розраховані на 10–15 років експлуатації, що створює ефект «технологічного замкнення»: компанії вимушені продовжувати експлуатацію енергоємних активів навіть за наявності стійких альтернатив до моменту їхньої повної фінансової амортизації. </w:t>
      </w:r>
    </w:p>
    <w:p w14:paraId="2E8C651A" w14:textId="77777777" w:rsidR="007B6BB7" w:rsidRDefault="005D2748" w:rsidP="007B6BB7">
      <w:pPr>
        <w:pStyle w:val="af"/>
        <w:spacing w:line="360" w:lineRule="auto"/>
        <w:ind w:firstLine="709"/>
        <w:jc w:val="both"/>
        <w:rPr>
          <w:rFonts w:ascii="Times New Roman" w:hAnsi="Times New Roman" w:cs="Times New Roman"/>
          <w:sz w:val="28"/>
          <w:szCs w:val="28"/>
        </w:rPr>
      </w:pPr>
      <w:r w:rsidRPr="005D2748">
        <w:rPr>
          <w:rFonts w:ascii="Times New Roman" w:hAnsi="Times New Roman" w:cs="Times New Roman"/>
          <w:sz w:val="28"/>
          <w:szCs w:val="28"/>
        </w:rPr>
        <w:t>Ця інерція підживлюється «парадоксом продуктивності», де будь-яка оптимізація алгоритмів чи обладнання негайно конвертується у масштабування навантаження, а не у зниження споживання, що робить корпоративну декларацію про «Net Zero» структурно неможливою без відмови від експоненційного зростання. Станом на 2025 рік, менше 15% світових операторів ЦОД інтегрували критерії екологічної цілісності у свої фінансові стратегії, залишаючи системну ентропію як «зовнішній ефект», що нівелює будь-які спроби досягнення реального екологічного балансу.</w:t>
      </w:r>
    </w:p>
    <w:p w14:paraId="0453C9C4" w14:textId="77777777" w:rsidR="007B6BB7" w:rsidRDefault="0075166D" w:rsidP="007B6BB7">
      <w:pPr>
        <w:pStyle w:val="af"/>
        <w:spacing w:line="360" w:lineRule="auto"/>
        <w:ind w:firstLine="709"/>
        <w:jc w:val="both"/>
        <w:rPr>
          <w:rFonts w:ascii="Times New Roman" w:hAnsi="Times New Roman" w:cs="Times New Roman"/>
          <w:sz w:val="28"/>
          <w:szCs w:val="28"/>
        </w:rPr>
      </w:pPr>
      <w:r w:rsidRPr="0075166D">
        <w:rPr>
          <w:rFonts w:ascii="Times New Roman" w:hAnsi="Times New Roman" w:cs="Times New Roman"/>
          <w:sz w:val="28"/>
          <w:szCs w:val="28"/>
        </w:rPr>
        <w:t>Трансляція відеоконтенту в режимі реального часу стала домінуючим чинником глобального інтернет-трафіку, на який припадає, за різними оцінками, понад 60–65% усіх переданих даних. Кожне відтворення відео високої чіткості (HD, 4K) є не просто «передачею сигналу», а енергетично інтенсивним процесом, що включає функціонування серверів, мережевого обладнання та термінальних пристроїв. Вуглецевий слід однієї години стрімінгу оцінюється у 50–150 г CO2-еквіваленту, залежно від методу генерації енергії та ефективності мережі доставки контенту (CDN).</w:t>
      </w:r>
    </w:p>
    <w:p w14:paraId="126512F9" w14:textId="77777777" w:rsidR="007B6BB7" w:rsidRDefault="0075166D" w:rsidP="007B6BB7">
      <w:pPr>
        <w:pStyle w:val="af"/>
        <w:spacing w:line="360" w:lineRule="auto"/>
        <w:ind w:firstLine="709"/>
        <w:jc w:val="both"/>
        <w:rPr>
          <w:rFonts w:ascii="Times New Roman" w:hAnsi="Times New Roman" w:cs="Times New Roman"/>
          <w:sz w:val="28"/>
          <w:szCs w:val="28"/>
        </w:rPr>
      </w:pPr>
      <w:r w:rsidRPr="0075166D">
        <w:rPr>
          <w:rFonts w:ascii="Times New Roman" w:hAnsi="Times New Roman" w:cs="Times New Roman"/>
          <w:sz w:val="28"/>
          <w:szCs w:val="28"/>
        </w:rPr>
        <w:t xml:space="preserve">Глобальна проблема полягає в масштабі: згідно зі звітами IEA, індустрія стрімінгу щороку генерує понад 100 мільйонів тонн CO2, що перевищує річні </w:t>
      </w:r>
      <w:r w:rsidRPr="0075166D">
        <w:rPr>
          <w:rFonts w:ascii="Times New Roman" w:hAnsi="Times New Roman" w:cs="Times New Roman"/>
          <w:sz w:val="28"/>
          <w:szCs w:val="28"/>
        </w:rPr>
        <w:lastRenderedPageBreak/>
        <w:t>викиди таких країн, як Чилі або Бельгія. При цьому розвиток технологій стимулює «гонку роздільної здатності»: перехід від HD до 4K/8K збільшує навантаження на обчислювальні потужності в геометричній прогресії, при цьому корисний коефіцієнт сприйняття цієї якості людським оком залишається дискусійним. Ми спостерігаємо «енергетичну інфляцію» цифрового контенту, де споживання ресурсів зростає на 20–30% щорічно лише через прагнення платформ до візуальної надлишковості. Автоматичне відтворення, яке сьогодні є стандартом у соціальних мережах, перетворює кожен терабайт переданої інформації на безпосередній тиск на енергосистему, причому значна частина цього трафіку залишається неопрацьованою користувачем, перетворюючись на «цифрове теплове сміття».</w:t>
      </w:r>
    </w:p>
    <w:p w14:paraId="11779A62" w14:textId="77777777" w:rsidR="00C44521" w:rsidRDefault="00B31A26" w:rsidP="007B6BB7">
      <w:pPr>
        <w:pStyle w:val="af"/>
        <w:spacing w:line="360" w:lineRule="auto"/>
        <w:ind w:firstLine="709"/>
        <w:jc w:val="both"/>
        <w:rPr>
          <w:rFonts w:ascii="Times New Roman" w:hAnsi="Times New Roman" w:cs="Times New Roman"/>
          <w:sz w:val="28"/>
          <w:szCs w:val="28"/>
          <w:lang w:eastAsia="uk-UA"/>
        </w:rPr>
      </w:pPr>
      <w:r w:rsidRPr="00B31A26">
        <w:rPr>
          <w:rFonts w:ascii="Times New Roman" w:hAnsi="Times New Roman" w:cs="Times New Roman"/>
          <w:sz w:val="28"/>
          <w:szCs w:val="28"/>
          <w:lang w:eastAsia="uk-UA"/>
        </w:rPr>
        <w:t>Фундаментальний антагонізм між логікою ринкового капіталізму та законами термодинаміки проявляється у системній екстерналізації екологічних витрат. Корпоративні стратегії, що орієнтуються на квартальні звіти та максимізацію капіталізації, розглядають природне середовище як безкоштовний резервуар для скидання ентропії (тепла, викидів, відходів). Статистика свідчить, що прибутковість ІТ-сектору демонструє зростання на 8–10% на рік, тоді як швидкість деградації локальних екосистем у зонах розміщення гіпермасштабних ЦОД (за оцінками індексу цілісності біорізноманіття) сягає 0,5–1,5% щорічно. Цей конфлікт інтересів є незворотним: доки механізм «видалення» екологічних витрат зі звітів (у формі «прихованих екологічних боргів») залишається інструментом бізнес-планування, індустрія функціонуватиме як паразит, що виснажує фізичний фундамент власного існування, ігноруючи той факт, що прибуток у штучній системі неможливий при колапсі реальної біосфери.</w:t>
      </w:r>
      <w:r w:rsidR="006036FD">
        <w:rPr>
          <w:rFonts w:ascii="Times New Roman" w:hAnsi="Times New Roman" w:cs="Times New Roman"/>
          <w:sz w:val="28"/>
          <w:szCs w:val="28"/>
          <w:lang w:eastAsia="uk-UA"/>
        </w:rPr>
        <w:br/>
      </w:r>
      <w:r w:rsidR="006036FD">
        <w:rPr>
          <w:rFonts w:ascii="Times New Roman" w:hAnsi="Times New Roman" w:cs="Times New Roman"/>
          <w:sz w:val="28"/>
          <w:szCs w:val="28"/>
          <w:lang w:eastAsia="uk-UA"/>
        </w:rPr>
        <w:br/>
      </w:r>
      <w:r w:rsidR="00A13A70">
        <w:rPr>
          <w:rFonts w:ascii="Times New Roman" w:hAnsi="Times New Roman" w:cs="Times New Roman"/>
          <w:sz w:val="28"/>
          <w:szCs w:val="28"/>
          <w:lang w:eastAsia="uk-UA"/>
        </w:rPr>
        <w:t xml:space="preserve"> </w:t>
      </w:r>
      <w:r w:rsidR="00A13A70">
        <w:rPr>
          <w:rFonts w:ascii="Times New Roman" w:hAnsi="Times New Roman" w:cs="Times New Roman"/>
          <w:sz w:val="28"/>
          <w:szCs w:val="28"/>
          <w:lang w:eastAsia="uk-UA"/>
        </w:rPr>
        <w:tab/>
      </w:r>
      <w:r w:rsidR="006036FD" w:rsidRPr="00A13A70">
        <w:rPr>
          <w:rFonts w:ascii="Times New Roman" w:hAnsi="Times New Roman" w:cs="Times New Roman"/>
          <w:b/>
          <w:bCs/>
          <w:sz w:val="28"/>
          <w:szCs w:val="28"/>
          <w:lang w:eastAsia="uk-UA"/>
        </w:rPr>
        <w:t>1.3 Екологічні наслідки та вплив на довкілля</w:t>
      </w:r>
      <w:r w:rsidR="006036FD">
        <w:rPr>
          <w:rFonts w:ascii="Times New Roman" w:hAnsi="Times New Roman" w:cs="Times New Roman"/>
          <w:sz w:val="28"/>
          <w:szCs w:val="28"/>
          <w:lang w:eastAsia="uk-UA"/>
        </w:rPr>
        <w:br/>
      </w:r>
      <w:r w:rsidR="00A13A70">
        <w:rPr>
          <w:rFonts w:ascii="Times New Roman" w:hAnsi="Times New Roman" w:cs="Times New Roman"/>
          <w:sz w:val="28"/>
          <w:szCs w:val="28"/>
          <w:lang w:eastAsia="uk-UA"/>
        </w:rPr>
        <w:t xml:space="preserve"> </w:t>
      </w:r>
      <w:r w:rsidR="00A13A70">
        <w:rPr>
          <w:rFonts w:ascii="Times New Roman" w:hAnsi="Times New Roman" w:cs="Times New Roman"/>
          <w:sz w:val="28"/>
          <w:szCs w:val="28"/>
          <w:lang w:eastAsia="uk-UA"/>
        </w:rPr>
        <w:tab/>
      </w:r>
      <w:r w:rsidR="00A13A70" w:rsidRPr="00A13A70">
        <w:rPr>
          <w:rFonts w:ascii="Times New Roman" w:hAnsi="Times New Roman" w:cs="Times New Roman"/>
          <w:sz w:val="28"/>
          <w:szCs w:val="28"/>
          <w:lang w:eastAsia="uk-UA"/>
        </w:rPr>
        <w:t xml:space="preserve">Сучасні гіпермасштабні центри обробки даних (ЦОД) дедалі частіше ідентифікуються енергосистемами як «чорні діри» — об'єкти з постійним, некерованим і експоненційно зростаючим попитом на енергію, що здатні дестабілізувати регіональні енергомережі. За даними Міжнародного </w:t>
      </w:r>
      <w:r w:rsidR="00A13A70" w:rsidRPr="00A13A70">
        <w:rPr>
          <w:rFonts w:ascii="Times New Roman" w:hAnsi="Times New Roman" w:cs="Times New Roman"/>
          <w:sz w:val="28"/>
          <w:szCs w:val="28"/>
          <w:lang w:eastAsia="uk-UA"/>
        </w:rPr>
        <w:lastRenderedPageBreak/>
        <w:t>енергетичного агентства (IEA), глобальне споживання електроенергії дата-центрами у 2024–2025 роках перевищило 460 ТВт·год, що становить близько 2% світового енергобалансу. За консервативними прогнозами, до 2030 року цей показник може подвоїтися, сягнувши 1000 ТВт·год, що перевищує річне енергоспоживання цілих країн, таких як Німеччина.</w:t>
      </w:r>
      <w:r w:rsidR="00A13A70">
        <w:rPr>
          <w:rFonts w:ascii="Times New Roman" w:hAnsi="Times New Roman" w:cs="Times New Roman"/>
          <w:sz w:val="28"/>
          <w:szCs w:val="28"/>
          <w:lang w:eastAsia="uk-UA"/>
        </w:rPr>
        <w:br/>
      </w:r>
      <w:r w:rsidR="00A13A70" w:rsidRPr="00A13A70">
        <w:rPr>
          <w:rFonts w:ascii="Times New Roman" w:hAnsi="Times New Roman" w:cs="Times New Roman"/>
          <w:sz w:val="28"/>
          <w:szCs w:val="28"/>
          <w:lang w:eastAsia="uk-UA"/>
        </w:rPr>
        <w:t>Цей енергетичний вплив має трирівневу структуру деструкції:</w:t>
      </w:r>
      <w:r w:rsidR="00EC42ED">
        <w:rPr>
          <w:rFonts w:ascii="Times New Roman" w:hAnsi="Times New Roman" w:cs="Times New Roman"/>
          <w:sz w:val="28"/>
          <w:szCs w:val="28"/>
          <w:lang w:eastAsia="uk-UA"/>
        </w:rPr>
        <w:br/>
        <w:t>1.</w:t>
      </w:r>
      <w:r w:rsidR="00A13A70" w:rsidRPr="00EC42ED">
        <w:rPr>
          <w:rFonts w:ascii="Times New Roman" w:hAnsi="Times New Roman" w:cs="Times New Roman"/>
          <w:sz w:val="28"/>
          <w:szCs w:val="28"/>
          <w:lang w:eastAsia="uk-UA"/>
        </w:rPr>
        <w:t>Базове навантаження:</w:t>
      </w:r>
      <w:r w:rsidR="00A13A70" w:rsidRPr="00A13A70">
        <w:rPr>
          <w:rFonts w:ascii="Times New Roman" w:hAnsi="Times New Roman" w:cs="Times New Roman"/>
          <w:sz w:val="28"/>
          <w:szCs w:val="28"/>
          <w:lang w:eastAsia="uk-UA"/>
        </w:rPr>
        <w:t> На відміну від житлового сектору з циклічним попитом, ЦОД створюють безперервне навантаження 24/7. У регіонах з високою концентрацією ЦОД (як-от Північна Вірджинія, США, де розташовано близько 35% світових потужностей) це призводить до вичерпання резервів енергомереж. Це вимагає будівництва додаткових потужностей генерації, які часто базуються на викопному паливі, щоб забезпечити «цифровий uptime», нівелюючи зусилля з декарбонізації.</w:t>
      </w:r>
    </w:p>
    <w:p w14:paraId="537D2C0E" w14:textId="77777777" w:rsidR="00894E5F" w:rsidRDefault="00EC42ED" w:rsidP="007B6BB7">
      <w:pPr>
        <w:pStyle w:val="af"/>
        <w:spacing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2.</w:t>
      </w:r>
      <w:r w:rsidR="00A13A70" w:rsidRPr="00EC42ED">
        <w:rPr>
          <w:rFonts w:ascii="Times New Roman" w:hAnsi="Times New Roman" w:cs="Times New Roman"/>
          <w:sz w:val="28"/>
          <w:szCs w:val="28"/>
          <w:lang w:eastAsia="uk-UA"/>
        </w:rPr>
        <w:t>Дестабілізація мереж:</w:t>
      </w:r>
      <w:r w:rsidR="00A13A70" w:rsidRPr="00A13A70">
        <w:rPr>
          <w:rFonts w:ascii="Times New Roman" w:hAnsi="Times New Roman" w:cs="Times New Roman"/>
          <w:sz w:val="28"/>
          <w:szCs w:val="28"/>
          <w:lang w:eastAsia="uk-UA"/>
        </w:rPr>
        <w:t> Стрімке підключення великих ЦОД створює ризик перевантаження розподільчих мереж. Коли 1% зростання глобального трафіку даних корелює зі збільшенням навантаження на енергосистему на 0.5–0.7%, стає очевидним, що модель «експоненційного споживання» несумісна з фізичними лімітами енергетичного переходу.</w:t>
      </w:r>
    </w:p>
    <w:p w14:paraId="162EE9D4" w14:textId="77777777" w:rsidR="00894E5F" w:rsidRDefault="00EC42ED" w:rsidP="007B6BB7">
      <w:pPr>
        <w:pStyle w:val="af"/>
        <w:spacing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3.</w:t>
      </w:r>
      <w:r w:rsidR="00A13A70" w:rsidRPr="00EC42ED">
        <w:rPr>
          <w:rFonts w:ascii="Times New Roman" w:hAnsi="Times New Roman" w:cs="Times New Roman"/>
          <w:sz w:val="28"/>
          <w:szCs w:val="28"/>
          <w:lang w:eastAsia="uk-UA"/>
        </w:rPr>
        <w:t>Енергетична конкуренція:</w:t>
      </w:r>
      <w:r w:rsidR="00A13A70" w:rsidRPr="00A13A70">
        <w:rPr>
          <w:rFonts w:ascii="Times New Roman" w:hAnsi="Times New Roman" w:cs="Times New Roman"/>
          <w:sz w:val="28"/>
          <w:szCs w:val="28"/>
          <w:lang w:eastAsia="uk-UA"/>
        </w:rPr>
        <w:t> У критичних умовах дефіциту енергоресурсів великі корпоративні споживачі отримують пріоритет через довгострокові контракти, що фактично витісняє соціальні інфраструктури (лікарні, транспортні вузли, муніципальні сервіси) у зону енергетичного дефіциту. Дата-центри поглинають майже весь приріст генерації від ВДЕ, не залишаючи ресурсів для декарбонізації інших секторів економіки, створюючи «енергетичну блокаду майбутнього».</w:t>
      </w:r>
    </w:p>
    <w:p w14:paraId="7866CCDE" w14:textId="77777777" w:rsidR="00487B52" w:rsidRDefault="00922668" w:rsidP="007B6BB7">
      <w:pPr>
        <w:pStyle w:val="af"/>
        <w:spacing w:line="360" w:lineRule="auto"/>
        <w:ind w:firstLine="709"/>
        <w:jc w:val="both"/>
        <w:rPr>
          <w:rFonts w:ascii="Times New Roman" w:hAnsi="Times New Roman" w:cs="Times New Roman"/>
          <w:sz w:val="28"/>
          <w:szCs w:val="28"/>
          <w:lang w:eastAsia="uk-UA"/>
        </w:rPr>
      </w:pPr>
      <w:r w:rsidRPr="00922668">
        <w:rPr>
          <w:rFonts w:ascii="Times New Roman" w:hAnsi="Times New Roman" w:cs="Times New Roman"/>
          <w:sz w:val="28"/>
          <w:szCs w:val="28"/>
          <w:lang w:eastAsia="uk-UA"/>
        </w:rPr>
        <w:t xml:space="preserve">Термін «енергетичний протекціонізм» описує механізм, при якому глобальні хмарні оператори, керуючись жорсткими угодами про рівень обслуговування (SLA), фактично диктують пріоритети для енергосистем. Умови SLA, що вимагають «99,999% аптайму» (так звані «п’ять дев’яток»), змушують енергооператорів тримати в режимі очікування значні резервні потужності — </w:t>
      </w:r>
      <w:r w:rsidRPr="00922668">
        <w:rPr>
          <w:rFonts w:ascii="Times New Roman" w:hAnsi="Times New Roman" w:cs="Times New Roman"/>
          <w:sz w:val="28"/>
          <w:szCs w:val="28"/>
          <w:lang w:eastAsia="uk-UA"/>
        </w:rPr>
        <w:lastRenderedPageBreak/>
        <w:t>часто найбільш екологічно «брудні», але швидкі в запуску вугільні або газові пікові електростанції. Це блокує можливість для енергомереж перейти на більш гнучкі та екологічно чисті джерела, оскільки «цифровий протекціонізм» вимагає миттєвого відгуку незалежно від стану екологічної ситуації чи навантаження на мережу.</w:t>
      </w:r>
    </w:p>
    <w:p w14:paraId="094735AB" w14:textId="77777777" w:rsidR="00487B52" w:rsidRDefault="00922668" w:rsidP="007B6BB7">
      <w:pPr>
        <w:pStyle w:val="af"/>
        <w:spacing w:line="360" w:lineRule="auto"/>
        <w:ind w:firstLine="709"/>
        <w:jc w:val="both"/>
        <w:rPr>
          <w:rFonts w:ascii="Times New Roman" w:hAnsi="Times New Roman" w:cs="Times New Roman"/>
          <w:sz w:val="28"/>
          <w:szCs w:val="28"/>
          <w:lang w:eastAsia="uk-UA"/>
        </w:rPr>
      </w:pPr>
      <w:r w:rsidRPr="00922668">
        <w:rPr>
          <w:rFonts w:ascii="Times New Roman" w:hAnsi="Times New Roman" w:cs="Times New Roman"/>
          <w:sz w:val="28"/>
          <w:szCs w:val="28"/>
          <w:lang w:eastAsia="uk-UA"/>
        </w:rPr>
        <w:t>Дата-центри стають «привілейованими споживачами», чиї запити на потужність розглядаються як стратегічно важливіші за потреби адаптації енергетичної інфраструктури до кліматичних викликів. Це створює парадоксальну ситуацію: замість того, щоб інтегрувати цифрову інфраструктуру в загальну систему декарбонізації, ми обслуговуємо її ексклюзивність ціною вичерпання енергетичних бюджетів, призначених для переходу до сталої енергетики. У моменти пікового навантаження, викликаного аномальною спекою (яку самі ж ЦОД посилюють через теплове забруднення), енергосистема опиняється перед вибором: обмежити енергопостачання соціально значущих об’єктів чи підтримувати безперебійну роботу хмарних серверів. Вибір на користь останніх стає системною нормою, що призводить до «енергетичної блокади» для інших галузей, які намагаються знизити свій вуглецевий слід.</w:t>
      </w:r>
    </w:p>
    <w:p w14:paraId="0A91BC47" w14:textId="77777777" w:rsidR="00487B52" w:rsidRDefault="00C97972" w:rsidP="007B6BB7">
      <w:pPr>
        <w:pStyle w:val="af"/>
        <w:spacing w:line="360" w:lineRule="auto"/>
        <w:ind w:firstLine="709"/>
        <w:jc w:val="both"/>
        <w:rPr>
          <w:rFonts w:ascii="Times New Roman" w:hAnsi="Times New Roman" w:cs="Times New Roman"/>
          <w:sz w:val="28"/>
          <w:szCs w:val="28"/>
          <w:lang w:eastAsia="uk-UA"/>
        </w:rPr>
      </w:pPr>
      <w:r w:rsidRPr="00C97972">
        <w:rPr>
          <w:rFonts w:ascii="Times New Roman" w:hAnsi="Times New Roman" w:cs="Times New Roman"/>
          <w:sz w:val="28"/>
          <w:szCs w:val="28"/>
          <w:lang w:eastAsia="uk-UA"/>
        </w:rPr>
        <w:t xml:space="preserve">Функціонування дата-центрів у складі міських енергосистем створює ризик системного колапсу через непередбачуваність навантаження під час кліматичних аномалій. Коли дата-центри споживають 10–15% від загальної потужності регіональної мережі, будь-який різкий стрибок попиту (наприклад, під час роботи систем охолодження в екстремальну спеку) провокує «ефект доміно». Згідно з моделюванням енергосистем, якщо навантаження на мережу наближається до 90% від пікової потужності, додавання навіть 5% споживання з боку ЦОД може призвести до падіння напруги в усій системі та аварійного відключення. Це ставить енергосистему перед критичним вибором: обмеження споживання для цивільних об’єктів (лікарень, житлового сектора) або ж відключення «цифрових вузлів». Така системна вразливість перетворює енергомережу на крихкий механізм, де стабільність функціонування міста залежить від того, чи зможуть сервери втриматися в межах енергетичного </w:t>
      </w:r>
      <w:r w:rsidRPr="00C97972">
        <w:rPr>
          <w:rFonts w:ascii="Times New Roman" w:hAnsi="Times New Roman" w:cs="Times New Roman"/>
          <w:sz w:val="28"/>
          <w:szCs w:val="28"/>
          <w:lang w:eastAsia="uk-UA"/>
        </w:rPr>
        <w:lastRenderedPageBreak/>
        <w:t>бюджету під час періодів критичного навантаження, що робить енергосистему заручником цифрового трафіку.</w:t>
      </w:r>
    </w:p>
    <w:p w14:paraId="257965C0" w14:textId="77777777" w:rsidR="00487B52" w:rsidRDefault="00931C35" w:rsidP="007B6BB7">
      <w:pPr>
        <w:pStyle w:val="af"/>
        <w:spacing w:line="360" w:lineRule="auto"/>
        <w:ind w:firstLine="709"/>
        <w:jc w:val="both"/>
        <w:rPr>
          <w:rFonts w:ascii="Times New Roman" w:hAnsi="Times New Roman" w:cs="Times New Roman"/>
          <w:sz w:val="28"/>
          <w:szCs w:val="28"/>
          <w:lang w:eastAsia="uk-UA"/>
        </w:rPr>
      </w:pPr>
      <w:r w:rsidRPr="00931C35">
        <w:rPr>
          <w:rFonts w:ascii="Times New Roman" w:hAnsi="Times New Roman" w:cs="Times New Roman"/>
          <w:sz w:val="28"/>
          <w:szCs w:val="28"/>
          <w:lang w:eastAsia="uk-UA"/>
        </w:rPr>
        <w:t>Водне «голодування» є ще одним критичним, проте часто ігнорованим наслідком функціонування ЦОД. Більшість сучасних дата-центрів використовують системи випарного охолодження як найбільш енергоефективний спосіб відведення тепла. Проте «енергоефективність» у цьому випадку досягається за рахунок катастрофічного споживання водних ресурсів.</w:t>
      </w:r>
    </w:p>
    <w:p w14:paraId="115BB03D" w14:textId="77777777" w:rsidR="00487B52" w:rsidRDefault="00931C35" w:rsidP="007B6BB7">
      <w:pPr>
        <w:pStyle w:val="af"/>
        <w:spacing w:line="360" w:lineRule="auto"/>
        <w:ind w:firstLine="709"/>
        <w:jc w:val="both"/>
        <w:rPr>
          <w:rFonts w:ascii="Times New Roman" w:hAnsi="Times New Roman" w:cs="Times New Roman"/>
          <w:sz w:val="28"/>
          <w:szCs w:val="28"/>
          <w:lang w:eastAsia="uk-UA"/>
        </w:rPr>
      </w:pPr>
      <w:r w:rsidRPr="00931C35">
        <w:rPr>
          <w:rFonts w:ascii="Times New Roman" w:hAnsi="Times New Roman" w:cs="Times New Roman"/>
          <w:sz w:val="28"/>
          <w:szCs w:val="28"/>
          <w:lang w:eastAsia="uk-UA"/>
        </w:rPr>
        <w:t>За статистикою, середній показник споживання води становить від 2.0 до 3.0 літрів на 1 кВт·год спожитої енергії. При роботі гіпермасштабного ЦОД потужністю 100 МВт, добове вилучення прісної води може сягати 4.8–7.2 мільйонів літрів. Це обсяг, що забезпечує потреби середнього міста з населенням 20 000–30 000 осіб. Умови кризи загострюються такими факторами</w:t>
      </w:r>
      <w:r w:rsidR="00443ABA">
        <w:rPr>
          <w:rFonts w:ascii="Times New Roman" w:hAnsi="Times New Roman" w:cs="Times New Roman"/>
          <w:sz w:val="28"/>
          <w:szCs w:val="28"/>
          <w:lang w:eastAsia="uk-UA"/>
        </w:rPr>
        <w:t>:</w:t>
      </w:r>
      <w:r w:rsidR="00443ABA">
        <w:rPr>
          <w:rFonts w:ascii="Times New Roman" w:hAnsi="Times New Roman" w:cs="Times New Roman"/>
          <w:sz w:val="28"/>
          <w:szCs w:val="28"/>
          <w:lang w:eastAsia="uk-UA"/>
        </w:rPr>
        <w:br/>
      </w:r>
      <w:r w:rsidRPr="00443ABA">
        <w:rPr>
          <w:rFonts w:ascii="Times New Roman" w:hAnsi="Times New Roman" w:cs="Times New Roman"/>
          <w:sz w:val="28"/>
          <w:szCs w:val="28"/>
          <w:lang w:eastAsia="uk-UA"/>
        </w:rPr>
        <w:t>Локальна гідрологічна деградація</w:t>
      </w:r>
      <w:r w:rsidRPr="00931C35">
        <w:rPr>
          <w:rFonts w:ascii="Times New Roman" w:hAnsi="Times New Roman" w:cs="Times New Roman"/>
          <w:b/>
          <w:bCs/>
          <w:sz w:val="28"/>
          <w:szCs w:val="28"/>
          <w:lang w:eastAsia="uk-UA"/>
        </w:rPr>
        <w:t>:</w:t>
      </w:r>
      <w:r w:rsidRPr="00931C35">
        <w:rPr>
          <w:rFonts w:ascii="Times New Roman" w:hAnsi="Times New Roman" w:cs="Times New Roman"/>
          <w:sz w:val="28"/>
          <w:szCs w:val="28"/>
          <w:lang w:eastAsia="uk-UA"/>
        </w:rPr>
        <w:t> Масове вилучення води з місцевих водоносних горизонтів призводить до падіння рівня ґрунтових вод, що викликає виснаження навколишніх екосистем. У зонах з низьким рівнем водного стресу (за індексами WRI Aqueduct) це створює конкуренцію з сільським господарством, особливо в періоди посух.</w:t>
      </w:r>
    </w:p>
    <w:p w14:paraId="695EC6E0" w14:textId="77777777" w:rsidR="00487B52" w:rsidRDefault="00931C35" w:rsidP="00487B52">
      <w:pPr>
        <w:pStyle w:val="af"/>
        <w:spacing w:line="360" w:lineRule="auto"/>
        <w:ind w:firstLine="709"/>
        <w:jc w:val="both"/>
        <w:rPr>
          <w:rFonts w:ascii="Times New Roman" w:hAnsi="Times New Roman" w:cs="Times New Roman"/>
          <w:sz w:val="28"/>
          <w:szCs w:val="28"/>
        </w:rPr>
      </w:pPr>
      <w:r w:rsidRPr="00443ABA">
        <w:rPr>
          <w:rFonts w:ascii="Times New Roman" w:hAnsi="Times New Roman" w:cs="Times New Roman"/>
          <w:sz w:val="28"/>
          <w:szCs w:val="28"/>
          <w:lang w:eastAsia="uk-UA"/>
        </w:rPr>
        <w:t>Теплове забруднення:</w:t>
      </w:r>
      <w:r w:rsidRPr="00931C35">
        <w:rPr>
          <w:rFonts w:ascii="Times New Roman" w:hAnsi="Times New Roman" w:cs="Times New Roman"/>
          <w:sz w:val="28"/>
          <w:szCs w:val="28"/>
          <w:lang w:eastAsia="uk-UA"/>
        </w:rPr>
        <w:t> Вода, що скидається після процесу охолодження, має підвищену температуру. Скидання цієї води у локальні водойми спричиняє температурні аномалії, які радикально змінюють склад біоти, знижуючи рівень розчиненого кисню та призводячи до евторофікації (цвітіння води).</w:t>
      </w:r>
      <w:r w:rsidR="00443ABA">
        <w:rPr>
          <w:rFonts w:ascii="Times New Roman" w:hAnsi="Times New Roman" w:cs="Times New Roman"/>
          <w:sz w:val="28"/>
          <w:szCs w:val="28"/>
          <w:lang w:eastAsia="uk-UA"/>
        </w:rPr>
        <w:br/>
      </w:r>
      <w:r w:rsidRPr="00443ABA">
        <w:rPr>
          <w:rFonts w:ascii="Times New Roman" w:hAnsi="Times New Roman" w:cs="Times New Roman"/>
          <w:sz w:val="28"/>
          <w:szCs w:val="28"/>
          <w:lang w:eastAsia="uk-UA"/>
        </w:rPr>
        <w:t>Хімічне навантаження:</w:t>
      </w:r>
      <w:r w:rsidRPr="00931C35">
        <w:rPr>
          <w:rFonts w:ascii="Times New Roman" w:hAnsi="Times New Roman" w:cs="Times New Roman"/>
          <w:sz w:val="28"/>
          <w:szCs w:val="28"/>
          <w:lang w:eastAsia="uk-UA"/>
        </w:rPr>
        <w:t> Для запобігання корозії та біообростання в системах випарного охолодження використовуються біоциди та антикорозійні реагенти. Концентровані залишки цих сполук часто потрапляють у міську каналізацію або безпосередньо у водні об’єкти, створюючи тривалий токсикологічний ризик для водних екосистем.</w:t>
      </w:r>
    </w:p>
    <w:p w14:paraId="233EA053" w14:textId="77777777" w:rsidR="00487B52" w:rsidRDefault="00931C35" w:rsidP="00487B52">
      <w:pPr>
        <w:pStyle w:val="af"/>
        <w:spacing w:line="360" w:lineRule="auto"/>
        <w:ind w:firstLine="709"/>
        <w:jc w:val="both"/>
        <w:rPr>
          <w:rFonts w:ascii="Times New Roman" w:hAnsi="Times New Roman" w:cs="Times New Roman"/>
          <w:sz w:val="28"/>
          <w:szCs w:val="28"/>
          <w:lang w:eastAsia="uk-UA"/>
        </w:rPr>
      </w:pPr>
      <w:r w:rsidRPr="00931C35">
        <w:rPr>
          <w:rFonts w:ascii="Times New Roman" w:hAnsi="Times New Roman" w:cs="Times New Roman"/>
          <w:sz w:val="28"/>
          <w:szCs w:val="28"/>
          <w:lang w:eastAsia="uk-UA"/>
        </w:rPr>
        <w:t xml:space="preserve">Таким чином, дата-центри перетворюються на «водних паразитів» екосистем. Коли вибір стоїть між забезпеченням питною водою населення та охолодженням серверів для підтримки соціальних мереж чи «хмарних» обчислень, лінійна модель економіки завжди ставить у пріоритет </w:t>
      </w:r>
      <w:r w:rsidRPr="00931C35">
        <w:rPr>
          <w:rFonts w:ascii="Times New Roman" w:hAnsi="Times New Roman" w:cs="Times New Roman"/>
          <w:sz w:val="28"/>
          <w:szCs w:val="28"/>
          <w:lang w:eastAsia="uk-UA"/>
        </w:rPr>
        <w:lastRenderedPageBreak/>
        <w:t>функціонування цифрової інфраструктури, що робить цей процес прямою загрозою для екологічної безпеки територій.</w:t>
      </w:r>
    </w:p>
    <w:p w14:paraId="5D194509" w14:textId="77777777" w:rsidR="00487B52" w:rsidRDefault="00603D5B" w:rsidP="00487B52">
      <w:pPr>
        <w:pStyle w:val="af"/>
        <w:spacing w:line="360" w:lineRule="auto"/>
        <w:ind w:firstLine="709"/>
        <w:jc w:val="both"/>
        <w:rPr>
          <w:rFonts w:ascii="Times New Roman" w:hAnsi="Times New Roman" w:cs="Times New Roman"/>
          <w:sz w:val="28"/>
          <w:szCs w:val="28"/>
          <w:lang w:eastAsia="uk-UA"/>
        </w:rPr>
      </w:pPr>
      <w:r w:rsidRPr="00603D5B">
        <w:rPr>
          <w:rFonts w:ascii="Times New Roman" w:hAnsi="Times New Roman" w:cs="Times New Roman"/>
          <w:sz w:val="28"/>
          <w:szCs w:val="28"/>
          <w:lang w:eastAsia="uk-UA"/>
        </w:rPr>
        <w:t xml:space="preserve">Масштабне вилучення води для охолодження гіпермасштабних дата-центрів призводить до деформації регіональних гідрологічних систем, виходячи далеко за межі локального впливу. Інтенсивна експлуатація підземних водоносних горизонтів формує глибокі «депресійні лійки» у ґрунтових водах, радіус яких може сягати 5–10 км. Для екосистем, що залежать від стабільного рівня ґрунтових вод (наприклад, водно-болотних угідь, заплавних лісів чи лук), це означає критичне зниження вологості ґрунту, що провокує висихання кореневих систем та загибель нестійкої біоти. Згідно з гідрогеологічними моделями, зниження рівня води навіть на 1–2 метри у зоні живлення річок призводить до падіння їхнього дебіту на 15–20% у посушливі періоди, що радикально змінює середовище існування для водних організмів. Окрім прямого виснаження, повернення використаної води з підвищеною температурою (на 5–10°C вище фонової) та зміненим хімічним складом викликає «термічний шок» у локальних водоймах, призводячи до масової загибелі чутливих видів фіто- та зоопланктону, що є основою трофічних ланцюгів для риб та навколоводних птахів. </w:t>
      </w:r>
      <w:r w:rsidR="00047097">
        <w:rPr>
          <w:rFonts w:ascii="Times New Roman" w:hAnsi="Times New Roman" w:cs="Times New Roman"/>
          <w:sz w:val="28"/>
          <w:szCs w:val="28"/>
          <w:lang w:eastAsia="uk-UA"/>
        </w:rPr>
        <w:t>З огляду на це</w:t>
      </w:r>
      <w:r w:rsidRPr="00603D5B">
        <w:rPr>
          <w:rFonts w:ascii="Times New Roman" w:hAnsi="Times New Roman" w:cs="Times New Roman"/>
          <w:sz w:val="28"/>
          <w:szCs w:val="28"/>
          <w:lang w:eastAsia="uk-UA"/>
        </w:rPr>
        <w:t>, ЦОД перетворюються на «гідрологічних хижаків», які через штучну зміну режиму зволоження прискорюють деградацію ландшафтів та зневоднення екосистем.</w:t>
      </w:r>
    </w:p>
    <w:p w14:paraId="7268D8DF" w14:textId="77777777" w:rsidR="00487B52" w:rsidRDefault="00EF7AEA" w:rsidP="00487B52">
      <w:pPr>
        <w:pStyle w:val="af"/>
        <w:spacing w:line="360" w:lineRule="auto"/>
        <w:ind w:firstLine="709"/>
        <w:jc w:val="both"/>
        <w:rPr>
          <w:rFonts w:ascii="Times New Roman" w:hAnsi="Times New Roman" w:cs="Times New Roman"/>
          <w:sz w:val="28"/>
          <w:szCs w:val="28"/>
          <w:lang w:eastAsia="uk-UA"/>
        </w:rPr>
      </w:pPr>
      <w:r w:rsidRPr="00EF7AEA">
        <w:rPr>
          <w:rFonts w:ascii="Times New Roman" w:hAnsi="Times New Roman" w:cs="Times New Roman"/>
          <w:sz w:val="28"/>
          <w:szCs w:val="28"/>
          <w:lang w:eastAsia="uk-UA"/>
        </w:rPr>
        <w:t xml:space="preserve">Конкуренція за життєво важливі ресурси (електроенергію та воду) між цифровою інфраструктурою та комунальним сектором стає причиною прихованої деградації якості життя в регіонах розміщення ЦОД. У моменти пікового споживання, коли гіпермасштабні центри вимагають 100–200 МВт потужності, це призводить до зниження напруги в мережах та підвищення тарифів на електроенергію для кінцевих споживачів (на 5–12% у річному вимірі через необхідність модернізації мереж під потреби ЦОД). Аналогічна ситуація спостерігається з водопостачанням: пріоритетне право на використання водних ресурсів для охолодження серверів обмежує можливості для сільськогосподарського та побутового використання, особливо в посушливі </w:t>
      </w:r>
      <w:r w:rsidRPr="00EF7AEA">
        <w:rPr>
          <w:rFonts w:ascii="Times New Roman" w:hAnsi="Times New Roman" w:cs="Times New Roman"/>
          <w:sz w:val="28"/>
          <w:szCs w:val="28"/>
          <w:lang w:eastAsia="uk-UA"/>
        </w:rPr>
        <w:lastRenderedPageBreak/>
        <w:t>роки. Це явище «ресурсного канібалізму» перетворює дата-центри на об’єкти, що функціонують за рахунок вилучення ресурсів у громад, спричиняючи «комунальну ентропію» — стан, при якому якість базових послуг (вода, стабільність електромережі) постійно знижується через необхідність забезпечення роботи корпоративного «заліза».</w:t>
      </w:r>
    </w:p>
    <w:p w14:paraId="1FAB839F" w14:textId="77777777" w:rsidR="00487B52" w:rsidRDefault="0032026C" w:rsidP="00487B52">
      <w:pPr>
        <w:pStyle w:val="af"/>
        <w:spacing w:line="360" w:lineRule="auto"/>
        <w:ind w:firstLine="709"/>
        <w:jc w:val="both"/>
        <w:rPr>
          <w:rFonts w:ascii="Times New Roman" w:hAnsi="Times New Roman" w:cs="Times New Roman"/>
          <w:sz w:val="28"/>
          <w:szCs w:val="28"/>
          <w:lang w:eastAsia="uk-UA"/>
        </w:rPr>
      </w:pPr>
      <w:r w:rsidRPr="0032026C">
        <w:rPr>
          <w:rFonts w:ascii="Times New Roman" w:hAnsi="Times New Roman" w:cs="Times New Roman"/>
          <w:sz w:val="28"/>
          <w:szCs w:val="28"/>
          <w:lang w:eastAsia="uk-UA"/>
        </w:rPr>
        <w:t>Матеріальний слід цифрової економіки не обмежується споживанням електроенергії; він критично проявляється у циклі життєдіяльності серверного обладнання. Стандарти галузі диктують примусове оновлення серверної архітектури кожні 3–5 років, навіть якщо фізичний стан компонентів дозволяє подальшу експлуатацію. Це створює безперервний потік E-waste (електронних відходів), який є одним із найбільш токсичних і складних для переробки типів сміття.</w:t>
      </w:r>
    </w:p>
    <w:p w14:paraId="47F8E03B" w14:textId="77777777" w:rsidR="00487B52" w:rsidRDefault="0032026C" w:rsidP="00487B52">
      <w:pPr>
        <w:pStyle w:val="af"/>
        <w:spacing w:line="360" w:lineRule="auto"/>
        <w:ind w:firstLine="709"/>
        <w:jc w:val="both"/>
        <w:rPr>
          <w:rFonts w:ascii="Times New Roman" w:hAnsi="Times New Roman" w:cs="Times New Roman"/>
          <w:sz w:val="28"/>
          <w:szCs w:val="28"/>
          <w:lang w:eastAsia="uk-UA"/>
        </w:rPr>
      </w:pPr>
      <w:r w:rsidRPr="0032026C">
        <w:rPr>
          <w:rFonts w:ascii="Times New Roman" w:hAnsi="Times New Roman" w:cs="Times New Roman"/>
          <w:sz w:val="28"/>
          <w:szCs w:val="28"/>
          <w:lang w:eastAsia="uk-UA"/>
        </w:rPr>
        <w:t>Глобальний обсяг електронних відходів, за даними Global E-waste Monitor, сягнув 62 мільйонів тонн на рік, з яких частка серверного обладнання та периферії зростає найшвидшими темпами. Кожна одиниця серверного обладнання містить складний сплав цінних і небезпечних матеріалів: літій, кобальт, тантал (колумбіт-танталіт), неодим, свинець, ртуть та кадмій. Вилучення цих металів із застарілих серверів є енергетично дорожчим та екологічно небезпечнішим, ніж видобуток первинної сировини, що робить вторинну переробку економічно неефективною в поточних ринкових реаліях.</w:t>
      </w:r>
    </w:p>
    <w:p w14:paraId="05D57630" w14:textId="77777777" w:rsidR="00487B52" w:rsidRDefault="0032026C" w:rsidP="00487B52">
      <w:pPr>
        <w:pStyle w:val="af"/>
        <w:spacing w:line="360" w:lineRule="auto"/>
        <w:ind w:firstLine="709"/>
        <w:jc w:val="both"/>
        <w:rPr>
          <w:rFonts w:ascii="Times New Roman" w:hAnsi="Times New Roman" w:cs="Times New Roman"/>
          <w:sz w:val="28"/>
          <w:szCs w:val="28"/>
          <w:lang w:eastAsia="uk-UA"/>
        </w:rPr>
      </w:pPr>
      <w:r w:rsidRPr="0032026C">
        <w:rPr>
          <w:rFonts w:ascii="Times New Roman" w:hAnsi="Times New Roman" w:cs="Times New Roman"/>
          <w:sz w:val="28"/>
          <w:szCs w:val="28"/>
          <w:lang w:eastAsia="uk-UA"/>
        </w:rPr>
        <w:t>Проблема полягає у відсутності дизайну «циркулярності» на етапі проєктування. Сучасні сервери проєктуються як неремонтопридатні моноліти: компоненти часто припаяні або залиті полімерними сполуками, що унеможливлює вибірковий демонтаж. Як результат, після списання сервер перетворюється на небезпечний об'єкт, який при попаданні на звичайні полігони ТПВ стає джерелом вилуговування важких металів у ґрунтові води.</w:t>
      </w:r>
    </w:p>
    <w:p w14:paraId="5B18993B" w14:textId="77777777" w:rsidR="00487B52" w:rsidRDefault="0032026C" w:rsidP="00487B52">
      <w:pPr>
        <w:pStyle w:val="af"/>
        <w:spacing w:line="360" w:lineRule="auto"/>
        <w:ind w:firstLine="709"/>
        <w:jc w:val="both"/>
        <w:rPr>
          <w:rFonts w:ascii="Times New Roman" w:hAnsi="Times New Roman" w:cs="Times New Roman"/>
          <w:sz w:val="28"/>
          <w:szCs w:val="28"/>
          <w:lang w:eastAsia="uk-UA"/>
        </w:rPr>
      </w:pPr>
      <w:r w:rsidRPr="0032026C">
        <w:rPr>
          <w:rFonts w:ascii="Times New Roman" w:hAnsi="Times New Roman" w:cs="Times New Roman"/>
          <w:sz w:val="28"/>
          <w:szCs w:val="28"/>
          <w:lang w:eastAsia="uk-UA"/>
        </w:rPr>
        <w:t xml:space="preserve">Таким чином, індустрія ЦОД перетворилася на фабрику з виробництва токсичних відходів, де життєвий цикл обладнання штучно скорочений маркетинговими вимогами до продуктивності, а екологічна ціна утилізації залишається екстерналією — витратою, яку не враховують у вартості «хмарних» </w:t>
      </w:r>
      <w:r w:rsidRPr="0032026C">
        <w:rPr>
          <w:rFonts w:ascii="Times New Roman" w:hAnsi="Times New Roman" w:cs="Times New Roman"/>
          <w:sz w:val="28"/>
          <w:szCs w:val="28"/>
          <w:lang w:eastAsia="uk-UA"/>
        </w:rPr>
        <w:lastRenderedPageBreak/>
        <w:t>послуг. Це створює фундаментальний розрив між віртуальною ефективністю сервісів та їхньою суворою фізичною деградацією в реальному довкіллі.</w:t>
      </w:r>
    </w:p>
    <w:p w14:paraId="1A5EA027" w14:textId="77777777" w:rsidR="00487B52" w:rsidRDefault="008B0A89" w:rsidP="00487B52">
      <w:pPr>
        <w:pStyle w:val="af"/>
        <w:spacing w:line="360" w:lineRule="auto"/>
        <w:ind w:firstLine="709"/>
        <w:jc w:val="both"/>
        <w:rPr>
          <w:rFonts w:ascii="Times New Roman" w:hAnsi="Times New Roman" w:cs="Times New Roman"/>
          <w:sz w:val="28"/>
          <w:szCs w:val="28"/>
          <w:lang w:eastAsia="uk-UA"/>
        </w:rPr>
      </w:pPr>
      <w:r w:rsidRPr="008B0A89">
        <w:rPr>
          <w:rFonts w:ascii="Times New Roman" w:hAnsi="Times New Roman" w:cs="Times New Roman"/>
          <w:sz w:val="28"/>
          <w:szCs w:val="28"/>
          <w:lang w:eastAsia="uk-UA"/>
        </w:rPr>
        <w:t>Фізична реальність цифрової економіки базується на агресивному вилученні мінеральних ресурсів, що прискорюється через критично короткий життєвий цикл обладнання (3–5 років). Сучасний сервер високої щільності акумулює у своїй архітектурі від 40 до 60 хімічних елементів, зокрема кобальт, літій, тантал, неодим, диспрозій та ітрій, причому глобальна потреба у неодимі та диспрозії для систем охолодження та приводів жорстких дисків зростає на 10–12% щорічно. Екологічна ціна цього видобутку є безпрецедентною: на створення одного терабайта систем зберігання даних припадає значне хімічне забруднення ґрунтів та виснаження водних горизонтів у регіонах видобутку (ДР Конго, Чилі, Китай). Враховуючи, що наразі вторинна переробка покриває менше 15% потреби у критичних матеріалах через неремонтопридатність дизайну, індустрія перетворюється на фабрику з виробництва токсичних відходів, де до 2035 року попит на окремі рідкісні елементи може перевищити видобувні можливості біосфери у 5–7 разів, створюючи геополітичну та екологічну вразливість, що ставить під загрозу існування самої галузі.</w:t>
      </w:r>
    </w:p>
    <w:p w14:paraId="52FA3120" w14:textId="77777777" w:rsidR="00487B52" w:rsidRDefault="00395D73" w:rsidP="00487B52">
      <w:pPr>
        <w:pStyle w:val="af"/>
        <w:spacing w:line="360" w:lineRule="auto"/>
        <w:ind w:firstLine="709"/>
        <w:jc w:val="both"/>
        <w:rPr>
          <w:rFonts w:ascii="Times New Roman" w:hAnsi="Times New Roman" w:cs="Times New Roman"/>
          <w:sz w:val="28"/>
          <w:szCs w:val="28"/>
          <w:lang w:eastAsia="uk-UA"/>
        </w:rPr>
      </w:pPr>
      <w:r w:rsidRPr="00395D73">
        <w:rPr>
          <w:rFonts w:ascii="Times New Roman" w:hAnsi="Times New Roman" w:cs="Times New Roman"/>
          <w:sz w:val="28"/>
          <w:szCs w:val="28"/>
          <w:lang w:eastAsia="uk-UA"/>
        </w:rPr>
        <w:t xml:space="preserve">Коли серверне обладнання виходить з експлуатації (стандартний цикл — 3–5 років), перед індустрією постає проблема утилізації мільйонів тонн електронних відходів, які часто ігноруються в офіційних звітах про сталість. За даними Global E-waste Monitor, щорічно у світі генерується близько 62 мільйонів тонн електронного сміття, з яких менше 25% офіційно переробляються відповідно до екологічних норм. Решта 75% — це «токсичний спадок»: кремнієві пластини, полімерні корпуси, важкі метали та антипірени (бромовані сполуки), які потрапляють на несанкціоновані звалища. При розкладанні ці матеріали виділяють стійкі органічні забруднювачі, які проникають у ґрунти та водоносні шари (іноді на глибину до 10–20 метрів), створюючи осередки тривалого забруднення, активність яких зберігається до 50 років. Витрати на рекультивацію таких територій у 10–15 разів перевищують прибуток, отриманий від експлуатації обладнання, що робить «кризу утилізації» фінансово-екологічною </w:t>
      </w:r>
      <w:r w:rsidRPr="00395D73">
        <w:rPr>
          <w:rFonts w:ascii="Times New Roman" w:hAnsi="Times New Roman" w:cs="Times New Roman"/>
          <w:sz w:val="28"/>
          <w:szCs w:val="28"/>
          <w:lang w:eastAsia="uk-UA"/>
        </w:rPr>
        <w:lastRenderedPageBreak/>
        <w:t>пасткою: ми створюємо цифрові блага сьогодні, ціною перетворення значних площ планети на зони токсичного відчуження для майбутніх поколінь.</w:t>
      </w:r>
      <w:r w:rsidR="009D67DE">
        <w:rPr>
          <w:rFonts w:ascii="Times New Roman" w:hAnsi="Times New Roman" w:cs="Times New Roman"/>
          <w:sz w:val="28"/>
          <w:szCs w:val="28"/>
          <w:lang w:eastAsia="uk-UA"/>
        </w:rPr>
        <w:br/>
        <w:t xml:space="preserve"> </w:t>
      </w:r>
      <w:r w:rsidR="009D67DE">
        <w:rPr>
          <w:rFonts w:ascii="Times New Roman" w:hAnsi="Times New Roman" w:cs="Times New Roman"/>
          <w:sz w:val="28"/>
          <w:szCs w:val="28"/>
          <w:lang w:eastAsia="uk-UA"/>
        </w:rPr>
        <w:tab/>
      </w:r>
      <w:r w:rsidR="009D67DE" w:rsidRPr="009D67DE">
        <w:rPr>
          <w:rFonts w:ascii="Times New Roman" w:hAnsi="Times New Roman" w:cs="Times New Roman"/>
          <w:sz w:val="28"/>
          <w:szCs w:val="28"/>
          <w:lang w:eastAsia="uk-UA"/>
        </w:rPr>
        <w:t xml:space="preserve">Системи охолодження ЦОД залежать від синтетичних холодоагентів (фторовані гази, PFAS — «вічні хімікати»), які є надзвичайно стійкими в довкіллі. Витоки цих речовин, що можуть сягати 5–10% від загального обсягу системи на рік через мікротріщини та зношування клапанів, призводять до їхнього накопичення в ґрунтах та потрапляння у водоносні горизонти. Ці сполуки мають високий потенціал глобального потепління (GWP), що в тисячі разів перевищує аналогічний показник CO2, а також характеризуються біоакумуляцією: вони проникають у трофічні ланцюги, накопичуючись в організмах тварин і людини. За оцінками екологічних служб, стійкість цих сполук у ґрунті вимірюється десятиліттями (період напіврозпаду окремих PFAS перевищує 30 років). </w:t>
      </w:r>
      <w:r w:rsidR="00134300" w:rsidRPr="00134300">
        <w:rPr>
          <w:rFonts w:ascii="Times New Roman" w:hAnsi="Times New Roman" w:cs="Times New Roman"/>
          <w:sz w:val="28"/>
          <w:szCs w:val="28"/>
          <w:lang w:eastAsia="uk-UA"/>
        </w:rPr>
        <w:t>Формується ефект відкладеної хімічної деградації територій</w:t>
      </w:r>
      <w:r w:rsidR="009D67DE" w:rsidRPr="009D67DE">
        <w:rPr>
          <w:rFonts w:ascii="Times New Roman" w:hAnsi="Times New Roman" w:cs="Times New Roman"/>
          <w:sz w:val="28"/>
          <w:szCs w:val="28"/>
          <w:lang w:eastAsia="uk-UA"/>
        </w:rPr>
        <w:t>: сучасні дата-центри повільно, але невідворотно отруюють місцеву гідрологію та ґрунтові екосистеми, перетворюючи навколишні території на зони з хронічним токсикологічним навантаженням, наслідки якого будуть відчутні ще довго після виводу самих серверних об'єктів з експлуатації.</w:t>
      </w:r>
    </w:p>
    <w:p w14:paraId="67267FF7" w14:textId="77777777" w:rsidR="00487B52" w:rsidRDefault="000961A4" w:rsidP="00487B52">
      <w:pPr>
        <w:pStyle w:val="af"/>
        <w:spacing w:line="360" w:lineRule="auto"/>
        <w:ind w:firstLine="709"/>
        <w:jc w:val="both"/>
        <w:rPr>
          <w:rFonts w:ascii="Times New Roman" w:hAnsi="Times New Roman" w:cs="Times New Roman"/>
          <w:sz w:val="28"/>
          <w:szCs w:val="28"/>
          <w:lang w:eastAsia="uk-UA"/>
        </w:rPr>
      </w:pPr>
      <w:r w:rsidRPr="000961A4">
        <w:rPr>
          <w:rFonts w:ascii="Times New Roman" w:hAnsi="Times New Roman" w:cs="Times New Roman"/>
          <w:sz w:val="28"/>
          <w:szCs w:val="28"/>
          <w:lang w:eastAsia="uk-UA"/>
        </w:rPr>
        <w:t xml:space="preserve">Другий закон термодинаміки є неухильним: робота обчислювальних систем неминуче супроводжується генеруванням скидного тепла, яке, попри будь-які заходи з енергоефективності, вивільняється у довкілля. Навіть при PUE 1.1, на кожні 100 кВт спожитої ІТ-потужності, у міську атмосферу або водойми викидається близько 110 кВт теплової енергії. Це призводить до виникнення локальних «островів тепла», де температура повітря в радіусі кількох кілометрів підвищується на 2–5°C відносно фонових значень, радикально змінюючи мікроклімат. Це не лише знижує енергоефективність системи охолодження самого дата-центру (зациклене навантаження), але й створює температурний стрес для прилеглих територій. З огляду на кліматичні тренди, де середньорічні температури зростають, дата-центри діють як каталізатори кліматичної кризи, перетворюючи міську територію на зону термічного дискомфорту, де </w:t>
      </w:r>
      <w:r w:rsidRPr="000961A4">
        <w:rPr>
          <w:rFonts w:ascii="Times New Roman" w:hAnsi="Times New Roman" w:cs="Times New Roman"/>
          <w:sz w:val="28"/>
          <w:szCs w:val="28"/>
          <w:lang w:eastAsia="uk-UA"/>
        </w:rPr>
        <w:lastRenderedPageBreak/>
        <w:t>деградують екосистеми та виснажуються адаптаційні ресурси біоти, неспроможної до швидкої реакції на штучно створені температурні аномалії.</w:t>
      </w:r>
    </w:p>
    <w:p w14:paraId="02941677" w14:textId="77777777" w:rsidR="00487B52" w:rsidRDefault="00E3275E" w:rsidP="00487B52">
      <w:pPr>
        <w:pStyle w:val="af"/>
        <w:spacing w:line="360" w:lineRule="auto"/>
        <w:ind w:firstLine="709"/>
        <w:jc w:val="both"/>
        <w:rPr>
          <w:rFonts w:ascii="Times New Roman" w:hAnsi="Times New Roman" w:cs="Times New Roman"/>
          <w:sz w:val="28"/>
          <w:szCs w:val="28"/>
          <w:lang w:eastAsia="uk-UA"/>
        </w:rPr>
      </w:pPr>
      <w:r w:rsidRPr="00E3275E">
        <w:rPr>
          <w:rFonts w:ascii="Times New Roman" w:hAnsi="Times New Roman" w:cs="Times New Roman"/>
          <w:sz w:val="28"/>
          <w:szCs w:val="28"/>
          <w:lang w:eastAsia="uk-UA"/>
        </w:rPr>
        <w:t>Акустичне забруднення від дата-центрів, генероване потужними системами вентиляції та охолодження, досягає рівнів 70–90 дБА на відстані кількох метрів від об'єкта, що постійно перевищує гранично допустимі норми (зазвичай 45–55 дБА у нічний час). Цей постійний, низькочастотний гул (нижче 100 Гц) чинить руйнівний вплив на біологічні системи: у людей він спричиняє хронічне підвищення рівня кортизолу, порушення циклів сну, гіпертензію та когнітивні розлади, що підтверджується численними дослідженнями впливу промислового шуму. Для локальної біоти ефект є ще більш фатальним: постійний шумовий фон перешкоджає акустичній комунікації птахів та дрібних ссавців (що критично для розмноження), викликає дезорієнтацію та змушує види мігрувати з ареалів проживання. Згідно з дослідженнями, підвищення рівня шуму всього на 3–6 дБА здатне скоротити популяцію чутливих видів на 20–30% через порушення комунікаційних ланцюгів. Таким чином, дата-центри стають джерелами «акустичного терору», де прихована індустріальна активність створює зону «мовчазної деградації» живої природи, витісняючи життя з прилеглих територій через фізичну неможливість адаптації до постійного техногенного звукового фону.</w:t>
      </w:r>
    </w:p>
    <w:p w14:paraId="4D9BE971" w14:textId="77777777" w:rsidR="00487B52" w:rsidRDefault="00812D5B" w:rsidP="00487B52">
      <w:pPr>
        <w:pStyle w:val="af"/>
        <w:spacing w:line="360" w:lineRule="auto"/>
        <w:ind w:firstLine="709"/>
        <w:jc w:val="both"/>
        <w:rPr>
          <w:rFonts w:ascii="Times New Roman" w:hAnsi="Times New Roman" w:cs="Times New Roman"/>
          <w:sz w:val="28"/>
          <w:szCs w:val="28"/>
          <w:lang w:eastAsia="uk-UA"/>
        </w:rPr>
      </w:pPr>
      <w:r w:rsidRPr="00812D5B">
        <w:rPr>
          <w:rFonts w:ascii="Times New Roman" w:hAnsi="Times New Roman" w:cs="Times New Roman"/>
          <w:sz w:val="28"/>
          <w:szCs w:val="28"/>
          <w:lang w:eastAsia="uk-UA"/>
        </w:rPr>
        <w:t xml:space="preserve">Постійна робота масивних систем охолодження, вентиляторів та насосів створює постійний низькочастотний вібраційний фон (частоти 20–100 Гц), який передається через фундаменти в ґрунт. Ця мікровібрація спричиняє явище, подібне до «вібраційної корозії»: тривалий механічний стрес призводить до деградації крихких матеріалів будівель, що знаходяться в радіусі 500 метрів від об'єкта, та мікротріщин у фундаментах. Для природи цей вплив є критичним у ґрунтах з високою вологістю: постійні коливання спричиняють ущільнення ґрунту, що знижує його пористість на 10–15% та погіршує умови для розвитку кореневих систем рослин і ґрунтової фауни (черв’яків, мікроорганізмів). Цей механічний вплив діє як «невидимий екскаватор», що поступово витісняє життя </w:t>
      </w:r>
      <w:r w:rsidRPr="00812D5B">
        <w:rPr>
          <w:rFonts w:ascii="Times New Roman" w:hAnsi="Times New Roman" w:cs="Times New Roman"/>
          <w:sz w:val="28"/>
          <w:szCs w:val="28"/>
          <w:lang w:eastAsia="uk-UA"/>
        </w:rPr>
        <w:lastRenderedPageBreak/>
        <w:t>з ґрунтового горизонту, перетворюючи родючі землі на фізично деградовані субстрати, нездатні підтримувати біологічне різноманіття.</w:t>
      </w:r>
    </w:p>
    <w:p w14:paraId="1A490A96" w14:textId="77777777" w:rsidR="00487B52" w:rsidRDefault="00B3602F" w:rsidP="00487B52">
      <w:pPr>
        <w:pStyle w:val="af"/>
        <w:spacing w:line="360" w:lineRule="auto"/>
        <w:ind w:firstLine="709"/>
        <w:jc w:val="both"/>
        <w:rPr>
          <w:rFonts w:ascii="Times New Roman" w:hAnsi="Times New Roman" w:cs="Times New Roman"/>
          <w:sz w:val="28"/>
          <w:szCs w:val="28"/>
          <w:lang w:eastAsia="uk-UA"/>
        </w:rPr>
      </w:pPr>
      <w:r w:rsidRPr="00B3602F">
        <w:rPr>
          <w:rFonts w:ascii="Times New Roman" w:hAnsi="Times New Roman" w:cs="Times New Roman"/>
          <w:sz w:val="28"/>
          <w:szCs w:val="28"/>
          <w:lang w:eastAsia="uk-UA"/>
        </w:rPr>
        <w:t>Скупчення гіпермасштабних серверних масивів та потужних силових підстанцій формує зони інтенсивного електромагнітного випромінювання (ЕМВ), яке значно перевищує фонові рівні природного середовища. Рівні магнітної індукції поблизу потужних кабельних ліній ЦОД можуть сягати 10–50 мікротесла, що створює постійний техногенний «шум» для біологічних систем. Дослідження підтверджують, що хронічний вплив ЕМВ такої інтенсивності корелює з порушеннями циркадних ритмів (пригнічення секреції мелатоніну) та когнітивними порушеннями у людей. Для локальної біоти наслідки є ще більш вираженими: високочастотні ЕМ поля здатні дезорієнтувати комах-запилювачів та птахів, що використовують геомагнітні сигнали для навігації. У радіусі кількох сотень метрів від великих кластерів ЦОД спостерігається зниження чисельності популяцій чутливих видів на 15–25%, що свідчить про створення зон «техногенної стерильності», де природні біоритми витісняються стабільним електромагнітним полем серверних ферм.</w:t>
      </w:r>
    </w:p>
    <w:p w14:paraId="3B3D4254" w14:textId="77777777" w:rsidR="00487B52" w:rsidRDefault="005C4771" w:rsidP="00487B52">
      <w:pPr>
        <w:pStyle w:val="af"/>
        <w:spacing w:line="360" w:lineRule="auto"/>
        <w:ind w:firstLine="709"/>
        <w:jc w:val="both"/>
        <w:rPr>
          <w:rFonts w:ascii="Times New Roman" w:hAnsi="Times New Roman" w:cs="Times New Roman"/>
          <w:sz w:val="28"/>
          <w:szCs w:val="28"/>
          <w:lang w:eastAsia="uk-UA"/>
        </w:rPr>
      </w:pPr>
      <w:r w:rsidRPr="005C4771">
        <w:rPr>
          <w:rFonts w:ascii="Times New Roman" w:hAnsi="Times New Roman" w:cs="Times New Roman"/>
          <w:sz w:val="28"/>
          <w:szCs w:val="28"/>
          <w:lang w:eastAsia="uk-UA"/>
        </w:rPr>
        <w:t>Зведення масивних дата-центрів площею понад 10 000–20 000 кв. м створює серйозний аеродинамічний бар’єр, що радикально змінює локальний мікроклімат. Ці «цифрові блоки» порушують природні вентиляційні коридори, які забезпечують охолодження та очищення міського повітря від забруднюючих речовин (PM2.5, NO2). Згідно з дослідженнями в галузі урбоекології, великі індустріальні споруди можуть знижувати швидкість вітру в прилеглих районах на 20–30%, що створює умови для застою повітря та акумуляції промислових викидів. Наслідком є посилення концентрації приземних забруднювачів: там, де раніше циркуляція повітря забезпечувала розсіювання, тепер формуються «аеродинамічні тіні», де рівень шкідливих речовин може перевищувати фонові показники на 15–20%. Це створює додаткове навантаження на здоров’я біоти, оскільки екосистеми втрачають природний механізм самоочищення через зміну архітектурного ландшафту, що не було враховано при проєктуванні таких інфраструктурних масивів.</w:t>
      </w:r>
    </w:p>
    <w:p w14:paraId="7A7979B5" w14:textId="77777777" w:rsidR="00487B52" w:rsidRDefault="00137A12" w:rsidP="00487B52">
      <w:pPr>
        <w:pStyle w:val="af"/>
        <w:spacing w:line="360" w:lineRule="auto"/>
        <w:ind w:firstLine="709"/>
        <w:jc w:val="both"/>
        <w:rPr>
          <w:rFonts w:ascii="Times New Roman" w:hAnsi="Times New Roman" w:cs="Times New Roman"/>
          <w:sz w:val="28"/>
          <w:szCs w:val="28"/>
          <w:lang w:eastAsia="uk-UA"/>
        </w:rPr>
      </w:pPr>
      <w:r w:rsidRPr="00137A12">
        <w:rPr>
          <w:rFonts w:ascii="Times New Roman" w:hAnsi="Times New Roman" w:cs="Times New Roman"/>
          <w:sz w:val="28"/>
          <w:szCs w:val="28"/>
          <w:lang w:eastAsia="uk-UA"/>
        </w:rPr>
        <w:lastRenderedPageBreak/>
        <w:t>Розміщення ЦОД призводить до «ландшафтної стерилізації» територій, де замість природних екосистем формується ізольований техногенний анклав. Використання великих площ під монолітні споруди, оточені глухими парканами та асфальтобетонним покриттям, розриває екологічні коридори, необхідні для міграції флори та фауни. Один середньостатистичний гіпермасштабний дата-центр займає площу від 5 до 20 гектарів, що повністю знищує ґрунтовий покрив та виключає можливість відновлення природної сукцесії. Цей процес призводить до створення «екологічних розривів»: територія втрачає здатність до поглинання вуглецю, депонування вологи та очищення повітря. Замість біологічного різноманіття, такі ділянки генерують лише техногенні відходи та тепловий потік, стаючи територіями, де природна еволюція замінюється жорсткою інженерною експлуатацією, перетворюючи живі екосистеми на статичні майданчики для розміщення заліза.</w:t>
      </w:r>
    </w:p>
    <w:p w14:paraId="03E5655D" w14:textId="77777777" w:rsidR="00487B52" w:rsidRDefault="00FA2963" w:rsidP="00487B52">
      <w:pPr>
        <w:pStyle w:val="af"/>
        <w:spacing w:line="360" w:lineRule="auto"/>
        <w:ind w:firstLine="709"/>
        <w:jc w:val="both"/>
        <w:rPr>
          <w:rFonts w:ascii="Times New Roman" w:hAnsi="Times New Roman" w:cs="Times New Roman"/>
          <w:sz w:val="28"/>
          <w:szCs w:val="28"/>
          <w:lang w:eastAsia="uk-UA"/>
        </w:rPr>
      </w:pPr>
      <w:r w:rsidRPr="00FA2963">
        <w:rPr>
          <w:rFonts w:ascii="Times New Roman" w:hAnsi="Times New Roman" w:cs="Times New Roman"/>
          <w:sz w:val="28"/>
          <w:szCs w:val="28"/>
          <w:lang w:eastAsia="uk-UA"/>
        </w:rPr>
        <w:t>Попри ілюзію «безшумної» роботи, дата-центри генерують безперервний, важкий логістичний потік, який стає критичним фактором деградації інфраструктури та зростання рівня забруднення. Оновлення серверного обладнання кожні 3–5 років вимагає постійного перевезення тисяч тонн технологічного заліза, що супроводжується інтенсивним рухом великовантажного транспорту. Згідно з оцінками, один середній ЦОД під час фаз обслуговування генерує від 50 до 100 додаткових вантажних рейсів на тиждень, що спричиняє прискорений знос дорожнього полотна на 15–20% швидше за розрахункові нормативи. Це не лише створює постійні затори, а й призводить до локального підвищення концентрації оксидів азоту (NOx) та твердих частинок (PM2.5) у зонах під'їзду до об'єктів. Вібраційний вплив від цього трафіку додається до постійного шуму від охолоджувальних систем, створюючи кумулятивний ефект, який витісняє живу біоту та ускладнює умови життя мешканців прилеглих кварталів, перетворюючи логістику підтримки «хмари» на постійне джерело техногенного тиску на навколишнє середовище.</w:t>
      </w:r>
    </w:p>
    <w:p w14:paraId="03F13C02" w14:textId="77777777" w:rsidR="00487B52" w:rsidRDefault="003907D6" w:rsidP="00487B52">
      <w:pPr>
        <w:pStyle w:val="af"/>
        <w:spacing w:line="360" w:lineRule="auto"/>
        <w:ind w:firstLine="709"/>
        <w:jc w:val="both"/>
        <w:rPr>
          <w:rFonts w:ascii="Times New Roman" w:hAnsi="Times New Roman" w:cs="Times New Roman"/>
          <w:sz w:val="28"/>
          <w:szCs w:val="28"/>
          <w:lang w:eastAsia="uk-UA"/>
        </w:rPr>
      </w:pPr>
      <w:r w:rsidRPr="003907D6">
        <w:rPr>
          <w:rFonts w:ascii="Times New Roman" w:hAnsi="Times New Roman" w:cs="Times New Roman"/>
          <w:sz w:val="28"/>
          <w:szCs w:val="28"/>
          <w:lang w:eastAsia="uk-UA"/>
        </w:rPr>
        <w:t xml:space="preserve">Функціонування дата-центрів провокує кумулятивний ефект втоми матеріалів та прискореного старіння міської інфраструктури (доріг, </w:t>
      </w:r>
      <w:r w:rsidRPr="003907D6">
        <w:rPr>
          <w:rFonts w:ascii="Times New Roman" w:hAnsi="Times New Roman" w:cs="Times New Roman"/>
          <w:sz w:val="28"/>
          <w:szCs w:val="28"/>
          <w:lang w:eastAsia="uk-UA"/>
        </w:rPr>
        <w:lastRenderedPageBreak/>
        <w:t>електромереж, трубопроводів). Постійний промисловий трафік (обслуговування) скорочує термін експлуатації дорожнього покриття на 20–25%, тоді як постійні коливання навантаження на електромережі призводять до деградації трансформаторів та силових кабелів, скорочуючи їхній життєвий цикл на 10–15 років. Цей феномен «техногенної ентропії» означає, що присутність ЦОД у системі змушує всі інші інфраструктурні об’єкти працювати у режимі критичного перевантаження. Вартість підтримки інфраструктури міста в робочому стані зростає на 15–30%, причому ці витрати зазвичай перекладаються на платників податків, тоді як прибутки від цифрової інфраструктури акумулюються у приватних структурах. Це прихований механізм знецінення міського капіталу, де ціною функціонування «хмари» стає фізичне руйнування матеріального світу, що оточує серверні об’єкти.</w:t>
      </w:r>
    </w:p>
    <w:p w14:paraId="71F8670D" w14:textId="77777777" w:rsidR="00487B52" w:rsidRDefault="00D51779" w:rsidP="00487B52">
      <w:pPr>
        <w:pStyle w:val="af"/>
        <w:spacing w:line="360" w:lineRule="auto"/>
        <w:ind w:firstLine="709"/>
        <w:jc w:val="both"/>
        <w:rPr>
          <w:rFonts w:ascii="Times New Roman" w:hAnsi="Times New Roman" w:cs="Times New Roman"/>
          <w:sz w:val="28"/>
          <w:szCs w:val="28"/>
          <w:lang w:eastAsia="uk-UA"/>
        </w:rPr>
      </w:pPr>
      <w:r w:rsidRPr="00D51779">
        <w:rPr>
          <w:rFonts w:ascii="Times New Roman" w:hAnsi="Times New Roman" w:cs="Times New Roman"/>
          <w:sz w:val="28"/>
          <w:szCs w:val="28"/>
          <w:lang w:eastAsia="uk-UA"/>
        </w:rPr>
        <w:t xml:space="preserve">Сучасні дата-центри, оснащені потужними системами безперебійного живлення на основі літій-іонних акумуляторних систем зберігання енергії (BESS), представляють безпрецедентну пожежну небезпеку для навколишнього середовища. Щільність енергії в таких системах зростає експоненційно, і у разі виникнення «теплового розгону» — самопідтримуваної хімічної реакції, яку неможливо зупинити стандартними засобами гасіння — відбувається вивільнення енергії з інтенсивністю, що перевершує звичайні промислові пожежі в рази. Продукти горіння літій-іонних систем включають високотоксичні гази: фтористий водень, ціаністий водень та оксиди металів, які при викиді в атмосферу утворюють «токсичний шлейф». Згідно з аналізом інцидентів, хмара продуктів горіння великого BESS-об’єкта здатна забруднити ґрунти та рослинність на площі до кількох квадратних кілометрів, роблячи ці території небезпечними для проживання біоти на тривалий час. Концентрація таких об’єктів у житлових або рекреаційних зонах створює ризик катастрофічних техногенних аварій, де вибухова хвиля та токсичне забруднення стають реальними інструментами фізичного знищення локальних екосистем. Ігнорування цих ризиків при проєктуванні «цифрових цитаделей» є формою </w:t>
      </w:r>
      <w:r w:rsidRPr="00D51779">
        <w:rPr>
          <w:rFonts w:ascii="Times New Roman" w:hAnsi="Times New Roman" w:cs="Times New Roman"/>
          <w:sz w:val="28"/>
          <w:szCs w:val="28"/>
          <w:lang w:eastAsia="uk-UA"/>
        </w:rPr>
        <w:lastRenderedPageBreak/>
        <w:t>нехтування елементарною безпекою довкілля, оскільки природа не має механізмів швидкої нейтралізації наслідків пожеж такого хімічного класу.</w:t>
      </w:r>
    </w:p>
    <w:p w14:paraId="570D5214" w14:textId="77777777" w:rsidR="00487B52" w:rsidRDefault="00B51A2D" w:rsidP="00487B52">
      <w:pPr>
        <w:pStyle w:val="af"/>
        <w:spacing w:line="360" w:lineRule="auto"/>
        <w:ind w:firstLine="709"/>
        <w:jc w:val="both"/>
        <w:rPr>
          <w:rFonts w:ascii="Times New Roman" w:hAnsi="Times New Roman" w:cs="Times New Roman"/>
          <w:sz w:val="28"/>
          <w:szCs w:val="28"/>
          <w:lang w:eastAsia="uk-UA"/>
        </w:rPr>
      </w:pPr>
      <w:r w:rsidRPr="00B51A2D">
        <w:rPr>
          <w:rFonts w:ascii="Times New Roman" w:hAnsi="Times New Roman" w:cs="Times New Roman"/>
          <w:sz w:val="28"/>
          <w:szCs w:val="28"/>
          <w:lang w:eastAsia="uk-UA"/>
        </w:rPr>
        <w:t>Екологічна сегрегація є проявом «дистрибутивної несправедливості», де об’єкти з високим техногенним навантаженням (шум, теплове забруднення, вібрація) систематично розміщуються в районах з нижчим рівнем доходів населення та меншим соціальним капіталом. Статистичні дані в урбанізованих регіонах США та ЄС показують кореляцію: імовірність розміщення енергоємного ЦОД у районах з високою часткою вразливих груп населення на 30–40% вища, ніж у престижних локаціях. Ці громади стають «заручниками» інфраструктури: вони отримують лише негативні екстерналії (погіршення якості води через виснаження, акустичний стрес), тоді як економічні вигоди (податки, робочі місця) виводяться за межі локальної екосистеми. Таке нерівномірне розподілення екологічного тягаря призводить до формування «зон виснаження», де біологічне різноманіття та якість довкілля деградують швидше, оскільки такі території не мають ресурсів для захисту від агресивного впровадження індустріальних об’єктів, що діють без врахування накопичувального екологічного стресу.</w:t>
      </w:r>
    </w:p>
    <w:p w14:paraId="45B713EE" w14:textId="77777777" w:rsidR="00487B52" w:rsidRDefault="000E29A9" w:rsidP="00487B52">
      <w:pPr>
        <w:pStyle w:val="af"/>
        <w:spacing w:line="360" w:lineRule="auto"/>
        <w:ind w:firstLine="709"/>
        <w:jc w:val="both"/>
        <w:rPr>
          <w:rFonts w:ascii="Times New Roman" w:hAnsi="Times New Roman" w:cs="Times New Roman"/>
          <w:sz w:val="28"/>
          <w:szCs w:val="28"/>
          <w:lang w:eastAsia="uk-UA"/>
        </w:rPr>
      </w:pPr>
      <w:r w:rsidRPr="000E29A9">
        <w:rPr>
          <w:rFonts w:ascii="Times New Roman" w:hAnsi="Times New Roman" w:cs="Times New Roman"/>
          <w:sz w:val="28"/>
          <w:szCs w:val="28"/>
          <w:lang w:eastAsia="uk-UA"/>
        </w:rPr>
        <w:t xml:space="preserve">Найсмертоноснішим іронічним механізмом сучасної ІТ-індустрії є кліматична петля зворотного зв’язку: дата-центри сприяють глобальному потеплінню, а потім самі ж опиняються на межі відмови через неможливість охолодження в умовах аномальної спеки. Системи охолодження більшості існуючих ЦОД проєктувалися для роботи при зовнішніх температурах до 30–35°C; під час хвиль спеки, коли температура повітря сягає 40°C і вище, PUE зростає експоненційно — кожне підвищення температури на 1°C вимагає збільшення енергоспоживання на охолодження на 3–5%. Це створює критичну загрозу: у момент найбільшого попиту на дані (через кліматичні наслідки) інфраструктура може просто «вийти з ладу» через перегрів. За оцінками кліматологів, до 2040 року кількість днів з критичними температурами для роботи серверів у багатьох регіонах збільшиться на 40–50%. Ми будуємо стратегічно важливі об’єкти, які є фізично неспроможними до функціонування в </w:t>
      </w:r>
      <w:r w:rsidRPr="000E29A9">
        <w:rPr>
          <w:rFonts w:ascii="Times New Roman" w:hAnsi="Times New Roman" w:cs="Times New Roman"/>
          <w:sz w:val="28"/>
          <w:szCs w:val="28"/>
          <w:lang w:eastAsia="uk-UA"/>
        </w:rPr>
        <w:lastRenderedPageBreak/>
        <w:t>кліматичних умовах, що формуються внаслідок нашої ж діяльності, перетворюючи «цифрові цитаделі» на пам’ятники архітектурної короткозорості, які будуть безпорадними перед першою ж серйозною кліматичною аномалією.</w:t>
      </w:r>
    </w:p>
    <w:p w14:paraId="4B1E8995" w14:textId="77777777" w:rsidR="00487B52" w:rsidRDefault="003F2A37" w:rsidP="00487B52">
      <w:pPr>
        <w:pStyle w:val="af"/>
        <w:spacing w:line="360" w:lineRule="auto"/>
        <w:ind w:firstLine="709"/>
        <w:jc w:val="both"/>
        <w:rPr>
          <w:rFonts w:ascii="Times New Roman" w:hAnsi="Times New Roman" w:cs="Times New Roman"/>
          <w:sz w:val="28"/>
          <w:szCs w:val="28"/>
          <w:lang w:eastAsia="uk-UA"/>
        </w:rPr>
      </w:pPr>
      <w:r w:rsidRPr="003F2A37">
        <w:rPr>
          <w:rFonts w:ascii="Times New Roman" w:hAnsi="Times New Roman" w:cs="Times New Roman"/>
          <w:sz w:val="28"/>
          <w:szCs w:val="28"/>
          <w:lang w:eastAsia="uk-UA"/>
        </w:rPr>
        <w:t>Сучасна цифрова цивілізація розвинула «колективну когнітивну залежність» від інфраструктури, яка фізично не є стійкою до майбутніх екологічних змін. Ми перенесли нашу соціальну пам'ять, економічні транзакції та критичні комунікації у віртуальний простір, не усвідомлюючи, що стабільність цього простору повністю залежить від безперебійного живлення, яке стає дедалі важче забезпечити. Статистика показує, що навіть короткочасні збої в енергопостачанні, викликані піковими навантаженнями (наприклад, під час екстремальних хвиль спеки), призводять до системних збоїв, що паралізують логістику та доступ до життєво важливих сервісів. Ми опинилися в парадоксальній ситуації: заради «зручності» ми побудували систему, яка споживає енергію з такою інтенсивністю, що сама ж провокує енергетичний дефіцит, створюючи ризик власного колапсу. Ця психологічна установка на «завжди доступний інтернет» перешкоджає розумінню того, що фізична деградація середовища — це пряма плата за наше неконтрольоване прагнення до миттєвого доступу до даних, що робить нас заручниками інфраструктури, яка повільно знищує середовище власного існування.</w:t>
      </w:r>
    </w:p>
    <w:p w14:paraId="036ED0D5" w14:textId="77777777" w:rsidR="00487B52" w:rsidRDefault="00AE131D" w:rsidP="00487B52">
      <w:pPr>
        <w:pStyle w:val="af"/>
        <w:spacing w:line="360" w:lineRule="auto"/>
        <w:ind w:firstLine="709"/>
        <w:jc w:val="both"/>
        <w:rPr>
          <w:rFonts w:ascii="Times New Roman" w:hAnsi="Times New Roman" w:cs="Times New Roman"/>
          <w:sz w:val="28"/>
          <w:szCs w:val="28"/>
          <w:lang w:eastAsia="uk-UA"/>
        </w:rPr>
      </w:pPr>
      <w:r w:rsidRPr="00AE131D">
        <w:rPr>
          <w:rFonts w:ascii="Times New Roman" w:hAnsi="Times New Roman" w:cs="Times New Roman"/>
          <w:sz w:val="28"/>
          <w:szCs w:val="28"/>
          <w:lang w:eastAsia="uk-UA"/>
        </w:rPr>
        <w:t xml:space="preserve">Ми наближаємося до критичного порогу, за яким антропогенний пресинг цифрової інфраструктури перевищує швидкість регенерації біосферних процесів. Згідно з концепцією «планетарних меж», виснаження ресурсів на обслуговування ЦОД (енергія, вода, критичні мінерали) порушує біогеохімічні цикли. Коли темпи екстракції ресурсів на потреби ІТ-сектору (що зростають на 8–10% щорічно) стають вищими за темпи природного відновлення (наприклад, поповнення водоносних горизонтів або поглинання вуглецю лісовими масивами), система втрачає гомеостаз. Моделювання показує: якщо поточна динаміка споживання збережеться, до 2035 року ми перетнемо «точку неповернення» для низки локальних екосистем, де збитки від деградації </w:t>
      </w:r>
      <w:r w:rsidRPr="00AE131D">
        <w:rPr>
          <w:rFonts w:ascii="Times New Roman" w:hAnsi="Times New Roman" w:cs="Times New Roman"/>
          <w:sz w:val="28"/>
          <w:szCs w:val="28"/>
          <w:lang w:eastAsia="uk-UA"/>
        </w:rPr>
        <w:lastRenderedPageBreak/>
        <w:t>біорізноманіття стануть незворотними, а вартість «цифрового прогресу» перевищить загальний обсяг економічних вигод від цифрової економіки.</w:t>
      </w:r>
    </w:p>
    <w:p w14:paraId="3707D0A4" w14:textId="77777777" w:rsidR="00487B52" w:rsidRDefault="002719CD" w:rsidP="00487B52">
      <w:pPr>
        <w:pStyle w:val="af"/>
        <w:spacing w:line="360" w:lineRule="auto"/>
        <w:ind w:firstLine="709"/>
        <w:jc w:val="both"/>
        <w:rPr>
          <w:rFonts w:ascii="Times New Roman" w:hAnsi="Times New Roman" w:cs="Times New Roman"/>
          <w:sz w:val="28"/>
          <w:szCs w:val="28"/>
          <w:lang w:eastAsia="uk-UA"/>
        </w:rPr>
      </w:pPr>
      <w:r w:rsidRPr="002719CD">
        <w:rPr>
          <w:rFonts w:ascii="Times New Roman" w:hAnsi="Times New Roman" w:cs="Times New Roman"/>
          <w:sz w:val="28"/>
          <w:szCs w:val="28"/>
          <w:lang w:eastAsia="uk-UA"/>
        </w:rPr>
        <w:t>Цифрова інфраструктура сьогодні здійснює «енергетичну експропріацію» майбутніх поколінь. Ми витрачаємо обмежений «вуглецевий бюджет», що залишився для втримання глобального потепління у межах 1.5°C (згідно з даними IPCC, це близько 250–400 Гт CO2), на підтримку трансляцій, надлишкових обчислень та «темних даних». За оцінками, кожен терабайт, переданий сьогодні за допомогою енергії, виробленої з викопного палива, поглиблює кліматичну кризу, яка зробить життя наступних поколінь менш безпечним. Це не просто споживання енергії; це спалювання енергетичного потенціалу майбутнього заради поточного цифрового комфорту. Відмова від пріоритезації енергопотреб ЦОД на користь соціально-екологічної стабільності стає етичним імперативом, адже ігнорування цього факту веде до інфраструктурного дефіциту, з яким зіткнуться нащадки, не маючи ні доступної енергії, ні відновлених екосистем.</w:t>
      </w:r>
    </w:p>
    <w:p w14:paraId="29ACD1A3" w14:textId="77777777" w:rsidR="00487B52" w:rsidRDefault="00F37BAD" w:rsidP="00487B52">
      <w:pPr>
        <w:pStyle w:val="af"/>
        <w:spacing w:line="360" w:lineRule="auto"/>
        <w:ind w:firstLine="709"/>
        <w:jc w:val="both"/>
        <w:rPr>
          <w:rFonts w:ascii="Times New Roman" w:hAnsi="Times New Roman" w:cs="Times New Roman"/>
          <w:sz w:val="28"/>
          <w:szCs w:val="28"/>
          <w:lang w:eastAsia="uk-UA"/>
        </w:rPr>
      </w:pPr>
      <w:r w:rsidRPr="00F37BAD">
        <w:rPr>
          <w:rFonts w:ascii="Times New Roman" w:hAnsi="Times New Roman" w:cs="Times New Roman"/>
          <w:sz w:val="28"/>
          <w:szCs w:val="28"/>
          <w:lang w:eastAsia="uk-UA"/>
        </w:rPr>
        <w:t>Ми опинилися в пастці «парадоксу виживання»: прагнення забезпечити глобальний доступ до інформації призводить до руйнації фізичного середовища, необхідного для самого виживання людства. Вартість доступу до «хмарних» сервісів у грошовому еквіваленті є низькою, проте у фізичному — екстремально високою. Економісти зазначають, що збитки від втрати екосистемних послуг (очищення води, фільтрація повітря, кліматичне регулювання) через будівництво дата-центрів у 5–10 разів перевищують прибутки, які ці об’єкти генерують. Ми торгуємо здоров'ям біосфери за біти інформації. З кожним роком «ціна» одного запиту до бази даних зростає у формі виснажених водних ресурсів, деградованих ґрунтів та втраченого біорізноманіття, що ставить під сумнів саму доцільність подальшого розширення цієї інфраструктури без радикальної зміни архітектури споживання.</w:t>
      </w:r>
    </w:p>
    <w:p w14:paraId="054DD45A" w14:textId="77777777" w:rsidR="00487B52" w:rsidRDefault="007E738A" w:rsidP="00487B52">
      <w:pPr>
        <w:pStyle w:val="af"/>
        <w:spacing w:line="360" w:lineRule="auto"/>
        <w:ind w:firstLine="709"/>
        <w:jc w:val="both"/>
        <w:rPr>
          <w:rFonts w:ascii="Times New Roman" w:hAnsi="Times New Roman" w:cs="Times New Roman"/>
          <w:sz w:val="28"/>
          <w:szCs w:val="28"/>
          <w:lang w:eastAsia="uk-UA"/>
        </w:rPr>
      </w:pPr>
      <w:r w:rsidRPr="007E738A">
        <w:rPr>
          <w:rFonts w:ascii="Times New Roman" w:hAnsi="Times New Roman" w:cs="Times New Roman"/>
          <w:sz w:val="28"/>
          <w:szCs w:val="28"/>
          <w:lang w:eastAsia="uk-UA"/>
        </w:rPr>
        <w:t xml:space="preserve">Масштабування цифрової інфраструктури призвело до формування складної системи з високим рівнем взаємозалежності, яка є вкрай крихкою. Використання принципу «efficiency-at-all-costs» (ефективність за будь-яку ціну) </w:t>
      </w:r>
      <w:r w:rsidRPr="007E738A">
        <w:rPr>
          <w:rFonts w:ascii="Times New Roman" w:hAnsi="Times New Roman" w:cs="Times New Roman"/>
          <w:sz w:val="28"/>
          <w:szCs w:val="28"/>
          <w:lang w:eastAsia="uk-UA"/>
        </w:rPr>
        <w:lastRenderedPageBreak/>
        <w:t>знищило надлишковість у системі життєзабезпечення. Згідно з теорією складних систем, надмірна оптимізація та гіперзв’язність призводять до того, що локальна аварія (наприклад, перегрів ЦОД під час спеки) може ініціювати каскадний ефект, який паралізує енергетику, логістику та доступ до життєвих ресурсів на регіональному рівні. Ми побудували систему, де відмова серверної стійки в епіцентрі цифрової мережі може спричинити соціальний колапс, роблячи фізичне існування міста заручником успішної роботи цифрового алгоритму, який сам по собі є деструктивним фактором для довкілля.</w:t>
      </w:r>
    </w:p>
    <w:p w14:paraId="5355ADBC" w14:textId="22DA87B6" w:rsidR="00C23227" w:rsidRDefault="007E738A" w:rsidP="00487B52">
      <w:pPr>
        <w:pStyle w:val="af"/>
        <w:spacing w:line="360" w:lineRule="auto"/>
        <w:ind w:firstLine="709"/>
        <w:jc w:val="both"/>
        <w:rPr>
          <w:rFonts w:ascii="Times New Roman" w:hAnsi="Times New Roman" w:cs="Times New Roman"/>
          <w:sz w:val="28"/>
          <w:szCs w:val="28"/>
        </w:rPr>
      </w:pPr>
      <w:r w:rsidRPr="007E738A">
        <w:rPr>
          <w:rFonts w:ascii="Times New Roman" w:hAnsi="Times New Roman" w:cs="Times New Roman"/>
          <w:sz w:val="28"/>
          <w:szCs w:val="28"/>
          <w:lang w:eastAsia="uk-UA"/>
        </w:rPr>
        <w:t>Під маскою «цифрової трансформації» прихований процес фундаментального вичерпання фізичного базису планети. Дата-центри — це не просто сервери; це матеріалізована ентропія, яка поглинає ресурси (воду, метал, енергію) і перетворює їх на цифровий «шум», залишаючи по собі лише токсичні сліди. У фінальному сценарії ми ризикуємо опинитися у світі, де інфраструктура для «розумного» управління даними існує, проте ресурси для підтримки біологічного життя (чиста вода, стабільний клімат, родюча земля) вже виснажені. Це і є екологічний апокаліпсис, де технологічний прогрес не рятує планету, а прискорює її фізичне знецінення. Усвідомлення того, що цифрова економіка є «термітом» для біосфери, є ключовим для розуміння необхідності негайної трансформації архітектури ІТ-сектору до моделі, яка визнає фізичні ліміти планети як абсолютний запобіжник подальшого розвитку.</w:t>
      </w:r>
      <w:r w:rsidR="00C23227">
        <w:rPr>
          <w:rFonts w:ascii="Times New Roman" w:hAnsi="Times New Roman" w:cs="Times New Roman"/>
          <w:sz w:val="28"/>
          <w:szCs w:val="28"/>
          <w:lang w:eastAsia="uk-UA"/>
        </w:rPr>
        <w:br w:type="page"/>
      </w:r>
    </w:p>
    <w:p w14:paraId="068750FE" w14:textId="1B818846" w:rsidR="00144ED9" w:rsidRPr="005606B6" w:rsidRDefault="00144ED9" w:rsidP="00487B52">
      <w:pPr>
        <w:pStyle w:val="af"/>
        <w:spacing w:line="360" w:lineRule="auto"/>
        <w:jc w:val="both"/>
        <w:rPr>
          <w:b/>
          <w:bCs/>
          <w:caps/>
        </w:rPr>
      </w:pPr>
      <w:r>
        <w:rPr>
          <w:rFonts w:ascii="Times New Roman" w:hAnsi="Times New Roman" w:cs="Times New Roman"/>
          <w:sz w:val="28"/>
          <w:szCs w:val="28"/>
          <w:lang w:eastAsia="uk-UA"/>
        </w:rPr>
        <w:lastRenderedPageBreak/>
        <w:br/>
      </w:r>
      <w:r>
        <w:rPr>
          <w:rFonts w:ascii="Times New Roman" w:hAnsi="Times New Roman" w:cs="Times New Roman"/>
          <w:b/>
          <w:bCs/>
          <w:caps/>
          <w:sz w:val="28"/>
          <w:szCs w:val="28"/>
        </w:rPr>
        <w:t xml:space="preserve"> </w:t>
      </w:r>
      <w:r>
        <w:rPr>
          <w:rFonts w:ascii="Times New Roman" w:hAnsi="Times New Roman" w:cs="Times New Roman"/>
          <w:b/>
          <w:bCs/>
          <w:caps/>
          <w:sz w:val="28"/>
          <w:szCs w:val="28"/>
        </w:rPr>
        <w:tab/>
      </w:r>
      <w:r w:rsidRPr="005606B6">
        <w:rPr>
          <w:rFonts w:ascii="Times New Roman" w:hAnsi="Times New Roman" w:cs="Times New Roman"/>
          <w:b/>
          <w:bCs/>
          <w:caps/>
          <w:sz w:val="28"/>
          <w:szCs w:val="28"/>
        </w:rPr>
        <w:t xml:space="preserve">РОЗДІЛ 2. </w:t>
      </w:r>
      <w:r w:rsidRPr="00655D9F">
        <w:rPr>
          <w:rFonts w:ascii="Times New Roman" w:hAnsi="Times New Roman" w:cs="Times New Roman"/>
          <w:b/>
          <w:bCs/>
          <w:caps/>
          <w:sz w:val="28"/>
          <w:szCs w:val="28"/>
        </w:rPr>
        <w:t>Геоекологічні наслідки та ризики функціонування ЦОД</w:t>
      </w:r>
    </w:p>
    <w:p w14:paraId="5F3B4D98" w14:textId="77777777" w:rsidR="00487B52" w:rsidRDefault="009539F3" w:rsidP="00487B52">
      <w:pPr>
        <w:pStyle w:val="af"/>
        <w:spacing w:line="360" w:lineRule="auto"/>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br/>
      </w:r>
      <w:r>
        <w:rPr>
          <w:rFonts w:ascii="Times New Roman" w:hAnsi="Times New Roman" w:cs="Times New Roman"/>
          <w:b/>
          <w:bCs/>
          <w:sz w:val="28"/>
          <w:szCs w:val="28"/>
          <w:lang w:eastAsia="uk-UA"/>
        </w:rPr>
        <w:t xml:space="preserve"> </w:t>
      </w:r>
      <w:r>
        <w:rPr>
          <w:rFonts w:ascii="Times New Roman" w:hAnsi="Times New Roman" w:cs="Times New Roman"/>
          <w:b/>
          <w:bCs/>
          <w:sz w:val="28"/>
          <w:szCs w:val="28"/>
          <w:lang w:eastAsia="uk-UA"/>
        </w:rPr>
        <w:tab/>
      </w:r>
      <w:r w:rsidRPr="009539F3">
        <w:rPr>
          <w:rFonts w:ascii="Times New Roman" w:hAnsi="Times New Roman" w:cs="Times New Roman"/>
          <w:b/>
          <w:bCs/>
          <w:sz w:val="28"/>
          <w:szCs w:val="28"/>
          <w:lang w:eastAsia="uk-UA"/>
        </w:rPr>
        <w:t>2.1 Феномен міських «островів тепла» та роль цифрової інфраструктури у його посиленні</w:t>
      </w:r>
    </w:p>
    <w:p w14:paraId="55C47864" w14:textId="77777777" w:rsidR="00487B52" w:rsidRDefault="00A22339" w:rsidP="00487B52">
      <w:pPr>
        <w:pStyle w:val="af"/>
        <w:spacing w:line="360" w:lineRule="auto"/>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Б</w:t>
      </w:r>
      <w:r w:rsidR="00F271B0" w:rsidRPr="00F271B0">
        <w:rPr>
          <w:rFonts w:ascii="Times New Roman" w:hAnsi="Times New Roman" w:cs="Times New Roman"/>
          <w:sz w:val="28"/>
          <w:szCs w:val="28"/>
          <w:lang w:eastAsia="uk-UA"/>
        </w:rPr>
        <w:t>удь-який обчислювальний процес, що супроводжується виконанням роботи, неминуче призводить до зростання ентропії системи. У контексті цифрової інфраструктури це означає, що майже 100% електричної енергії, спожитої серверним обладнанням, незворотно конвертується у низькопотенційну теплову енергію. Це тепло є «ентропійним податком», який сучасна цифрова економіка сплачує за кожен здійснений біт інформації.</w:t>
      </w:r>
    </w:p>
    <w:p w14:paraId="51C789F4" w14:textId="77777777" w:rsidR="00487B52" w:rsidRDefault="00F271B0" w:rsidP="00487B52">
      <w:pPr>
        <w:pStyle w:val="af"/>
        <w:spacing w:line="360" w:lineRule="auto"/>
        <w:ind w:firstLine="708"/>
        <w:jc w:val="both"/>
        <w:rPr>
          <w:rFonts w:ascii="Times New Roman" w:hAnsi="Times New Roman" w:cs="Times New Roman"/>
          <w:sz w:val="28"/>
          <w:szCs w:val="28"/>
          <w:lang w:eastAsia="uk-UA"/>
        </w:rPr>
      </w:pPr>
      <w:r w:rsidRPr="00F271B0">
        <w:rPr>
          <w:rFonts w:ascii="Times New Roman" w:hAnsi="Times New Roman" w:cs="Times New Roman"/>
          <w:sz w:val="28"/>
          <w:szCs w:val="28"/>
          <w:lang w:eastAsia="uk-UA"/>
        </w:rPr>
        <w:t>Енерге</w:t>
      </w:r>
      <w:r w:rsidRPr="00D7351E">
        <w:rPr>
          <w:rFonts w:ascii="Times New Roman" w:hAnsi="Times New Roman" w:cs="Times New Roman"/>
          <w:sz w:val="28"/>
          <w:szCs w:val="28"/>
          <w:lang w:eastAsia="uk-UA"/>
        </w:rPr>
        <w:t>тична щільність сучасних серверних вузлів, що в рази перевищує показники традиційних промислових об’єктів, призводить до того, що ЦОД стають локальними джерелами екстремального теплового навантаження. Процеси перемикання транзисторів у напівпровідниках та опір у провідниках зумовлюють виділення тепла, яке має низький температурний градієнт (30–50°C). Саме ця характеристика робить таке тепло малопридатним для ефективної рекуперації в умовах щільної міської забудови, перетворюючи його на «відходи», що підлягають негайній евакуації в атмосферу.</w:t>
      </w:r>
    </w:p>
    <w:p w14:paraId="1E4594CA" w14:textId="77777777" w:rsidR="00487B52" w:rsidRDefault="00F271B0"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Для підтримки стабільності обладнання дата-центри застосовують енергоємні системи охолодження (чилери, випарні вежі), які самі по собі є додатковими генераторами тепла. У результаті виникає «кліматична петля зворотного зв’язку»: викиди тепла в атмосферу підвищують локальну температуру навколишнього середовища, що знижує ефективність охолодження та змушує системи споживати ще більше енергії. Таким чином, термодинамічна неефективність перетворює кожен дата-центр на постійний осередок антропогенного нагріву, чий вплив стає відчутним у радіусі кількох кілометрів, особливо в умовах пікового літнього навантаження. </w:t>
      </w:r>
    </w:p>
    <w:p w14:paraId="4D3408A4" w14:textId="77777777" w:rsidR="00487B52" w:rsidRDefault="00F271B0"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lastRenderedPageBreak/>
        <w:t>Проте фізичний вплив дата-центру не обмежується лише генерацією тепла. Евакуація цього величезного обсягу теплової енергії вимагає створення потужних вентиляційних систем та масивних архітектурних конструкцій, які самі по собі стають перешкодою для природних процесів. Саме ця фізична присутність великих індустріальних споруд у ландшафті зумовлює трансформацію аеродинамічних характеристик території, призводячи до явища, яке в екологічному плануванні класифікується як аеродинамічна агресія.</w:t>
      </w:r>
    </w:p>
    <w:p w14:paraId="7237D4AA" w14:textId="77777777" w:rsidR="00487B52" w:rsidRDefault="00B516E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Аеродинамічна агресія - блокування природних потоків та формування аеродинамічних тіней. </w:t>
      </w:r>
      <w:r w:rsidR="00487B52">
        <w:rPr>
          <w:rFonts w:ascii="Times New Roman" w:hAnsi="Times New Roman" w:cs="Times New Roman"/>
          <w:sz w:val="28"/>
          <w:szCs w:val="28"/>
          <w:lang w:eastAsia="uk-UA"/>
        </w:rPr>
        <w:t xml:space="preserve"> </w:t>
      </w:r>
      <w:r w:rsidRPr="00D7351E">
        <w:rPr>
          <w:rFonts w:ascii="Times New Roman" w:hAnsi="Times New Roman" w:cs="Times New Roman"/>
          <w:sz w:val="28"/>
          <w:szCs w:val="28"/>
          <w:lang w:eastAsia="uk-UA"/>
        </w:rPr>
        <w:t>Архітектура сучасних гіпермасштабних дата-центрів, що часто являє собою монолітні споруди площею від 10 000 до 50 000 кв. м, діє як масштабний аеродинамічний бар’єр, що радикально змінює режим вентиляції прилеглих територій. Такі об’єкти здатні порушувати природні коридори конвекції, які є ключовими для самоочищення міського повітря від забруднюючих речовин (NOx, PM2.5, SO2).</w:t>
      </w:r>
    </w:p>
    <w:p w14:paraId="6759D802" w14:textId="77777777" w:rsidR="00487B52" w:rsidRDefault="00B516E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Згідно з дослідженнями в галузі урбоекології, об’єкти такої геометрії створюють ефект «аеродинамічної тіні» за вітром, де швидкість вітру знижується на 20–30% порівняно з фоновими показниками. У цих зонах виникає явище застою повітряних мас, що призводить до акумуляції приземних викидів від автотранспорту та інших індустріальних джерел. Рівень концентрації дрібнодисперсних частинок (PM2.5) у таких аеродинамічних «кишенях» може перевищувати фоновий рівень на 15–20%, що створює кумулятивний стрес для локальної біоти та мешканців прилеглих територій.</w:t>
      </w:r>
    </w:p>
    <w:p w14:paraId="0AF6D165" w14:textId="77777777" w:rsidR="00487B52" w:rsidRDefault="00B516E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Більше того, випускні отвори потужних систем охолодження, що спрямовані горизонтально або вертикально у приземний шар атмосфери, додають турбулентність до природного вітрового режиму. Це не лише перешкоджає нормальному перенесенню повітряних мас, а й посилює температурні інверсії — явище, при якому тепле повітря затримується біля поверхні землі, перешкоджаючи висхідним потокам. В результаті, ЦОД не лише виробляють тепло (як описано у попередньому пункті), але й створюють фізичні перепони, які не дозволяють цьому теплу та забрудненню ефективно </w:t>
      </w:r>
      <w:r w:rsidRPr="00D7351E">
        <w:rPr>
          <w:rFonts w:ascii="Times New Roman" w:hAnsi="Times New Roman" w:cs="Times New Roman"/>
          <w:sz w:val="28"/>
          <w:szCs w:val="28"/>
          <w:lang w:eastAsia="uk-UA"/>
        </w:rPr>
        <w:lastRenderedPageBreak/>
        <w:t>розсіюватися, закріплюючи ефект деградації мікроклімату на десятиліття вперед.</w:t>
      </w:r>
    </w:p>
    <w:p w14:paraId="406277AA" w14:textId="77777777" w:rsidR="00487B52" w:rsidRDefault="00FC08C9"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Поряд із прямим тепловиділенням, функціонування центрів обробки даних (ЦОД) супроводжується масштабною трансформацією земної поверхні, що призводить до критичних змін міського альбедо (відбивної здатності). Будівництво гіпермасштабних об’єктів вимагає значного відчуження територій, які часто перетворюються на штучні площини з низьким показником відбиття сонячної радіації.</w:t>
      </w:r>
    </w:p>
    <w:p w14:paraId="51133C26" w14:textId="77777777" w:rsidR="00487B52" w:rsidRDefault="00FC08C9"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Заміна природного ґрунтового покриву, трав’янистої рослинності або лісових ділянок на високощільні забудови, бетонні фундаменти, асфальтовані під’їзні шляхи та величезні площі дахів ЦОД радикально знижує альбедо території. Природні поверхні зазвичай мають альбедо в діапазоні 0,20–0,30, тоді як штучні матеріали, що використовуються в індустріальному будівництві, часто мають показник 0,05–0,15. Це означає, що замість відбиття сонячного випромінювання назад в атмосферу, поверхня дата-центру поглинає до 90–95% падаючої короткохвильової енергії, перетворюючи її на теплову.</w:t>
      </w:r>
    </w:p>
    <w:p w14:paraId="69E4B0BA" w14:textId="77777777" w:rsidR="00487B52" w:rsidRDefault="00FC08C9"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Ця теплова енергія накопичується конструкційними матеріалами (бетоном, металом) завдяки їхній високій тепловій інерції. Вдень поверхні ЦОД акумулюють значний тепловий заряд, а в нічний час, коли природне охолодження має знижувати температуру міста, цей запас тепла починає інтенсивно вивільнятися, перешкоджаючи нічному зниженню температури. Таким чином, інфраструктура ЦОД перетворюється на «тепловий акумулятор», який пролонгує температурний дискомфорт для прилеглих територій навіть після заходу сонця, що є прямою передумовою для виникнення кумулятивного ефекту спеки.</w:t>
      </w:r>
    </w:p>
    <w:p w14:paraId="03589CEC" w14:textId="77777777" w:rsidR="00487B52" w:rsidRDefault="003D0FAB"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Трансформація альбедо та пряме теплове забруднення, описані вище, формують так званий «кумулятивний ефект спеки», який призводить до виникнення замкненого кола — кліматичної петлі зворотного зв’язку. Це явище стає однією з найбільших загроз для надійності цифрової інфраструктури та екологічної безпеки міського середовища.</w:t>
      </w:r>
    </w:p>
    <w:p w14:paraId="0716B114" w14:textId="77777777" w:rsidR="00487B52" w:rsidRDefault="003D0FAB"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lastRenderedPageBreak/>
        <w:t>Суть цього ефекту полягає у взаємозалежності між зовнішньою температурою та енергетичною ефективністю систем охолодження. У періоди аномальної спеки, коли температура повітря в місті зростає через дію антропогенних джерел (включно з самими ЦОД), ефективність систем охолодження різко знижується. Фізично це описується через падіння коефіцієнта продуктивності холодильних машин: чим вища температура зовнішнього повітря, тим важче системі «скидати» тепло, і тим більше електроенергії вона споживає для виконання того ж самого обсягу роботи.</w:t>
      </w:r>
    </w:p>
    <w:p w14:paraId="573AC4C4" w14:textId="0C17C614" w:rsidR="003D0FAB" w:rsidRPr="00D7351E" w:rsidRDefault="003D0FAB"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Наслідки цього кумулятивного процесу мають системний характер:</w:t>
      </w:r>
    </w:p>
    <w:p w14:paraId="5AC91B83" w14:textId="77777777" w:rsidR="00487B52" w:rsidRDefault="003D0FAB" w:rsidP="00487B52">
      <w:pPr>
        <w:pStyle w:val="af"/>
        <w:numPr>
          <w:ilvl w:val="0"/>
          <w:numId w:val="3"/>
        </w:numPr>
        <w:spacing w:line="360" w:lineRule="auto"/>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Зростання навантаження: При зростанні зовнішньої температури енергоспоживання систем охолодження ЦОД зростає нелінійно, часто на 3–5% на кожен додатковий градус Цельсія.</w:t>
      </w:r>
    </w:p>
    <w:p w14:paraId="7A04BC78" w14:textId="77777777" w:rsidR="00487B52" w:rsidRDefault="003D0FAB" w:rsidP="00487B52">
      <w:pPr>
        <w:pStyle w:val="af"/>
        <w:numPr>
          <w:ilvl w:val="0"/>
          <w:numId w:val="3"/>
        </w:numPr>
        <w:spacing w:line="360" w:lineRule="auto"/>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Посилення емісії: Додаткове споживання енергії веде до збільшення викидів тепла в атмосферу, що ще більше підвищує температуру навколишнього середовища.</w:t>
      </w:r>
    </w:p>
    <w:p w14:paraId="617780D4" w14:textId="77777777" w:rsidR="00487B52" w:rsidRDefault="003D0FAB" w:rsidP="00487B52">
      <w:pPr>
        <w:pStyle w:val="af"/>
        <w:numPr>
          <w:ilvl w:val="0"/>
          <w:numId w:val="3"/>
        </w:numPr>
        <w:spacing w:line="360" w:lineRule="auto"/>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Енергетична напруга: Одночасне зростання попиту на енергію з боку ЦОД та інших споживачів (через повсюдне використання кондиціонерів) створює критичне навантаження на міські електромережі, підвищуючи ризик аварійних відключень.</w:t>
      </w:r>
    </w:p>
    <w:p w14:paraId="1D7D0318" w14:textId="77777777" w:rsidR="00487B52" w:rsidRDefault="003D0FA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Таким чином, дата-центри перетворюються із пасивних споживачів на активних учасників кліматичної деградації. Вони не лише страждають від спеки, а й власними зусиллями з охолодження прискорюють її настання. Це створює ситуацію, де цифрова інфраструктура виступає каталізатором власної нестабільності, підсилюючи тепловий стрес для всього міста і роблячи середовище менш придатним для природної адаптації біоти, що і є завершальним етапом кумулятивного ефекту.</w:t>
      </w:r>
    </w:p>
    <w:p w14:paraId="03A607CC" w14:textId="77777777" w:rsidR="00487B52" w:rsidRDefault="00682934"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Діяльність дата-центрів супроводжується формуванням прихованих хімічних шлейфів, які є наслідком експлуатації систем охолодження, що базуються на синтетичних холодоагентах. Сучасні чилери використовують фторовані вуглеводні (HFC, наприклад, R-134a, R-410A) або сполуки класу PFAS </w:t>
      </w:r>
      <w:r w:rsidRPr="00D7351E">
        <w:rPr>
          <w:rFonts w:ascii="Times New Roman" w:hAnsi="Times New Roman" w:cs="Times New Roman"/>
          <w:sz w:val="28"/>
          <w:szCs w:val="28"/>
          <w:lang w:eastAsia="uk-UA"/>
        </w:rPr>
        <w:lastRenderedPageBreak/>
        <w:t>(«вічні хімікати»), які мають надзвичайно високий потенціал глобального потепління (GWP). Коефіцієнт GWP для R-134a складає 1430 відносно CO₂, що означає, що витік навіть 1 кг речовини еквівалентний викиду 1,43 тонни вуглекислого газу.</w:t>
      </w:r>
    </w:p>
    <w:p w14:paraId="3D3D6513" w14:textId="77777777" w:rsidR="00487B52" w:rsidRDefault="00682934"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За даними галузевих досліджень, щорічний рівень витоків холодоагентів через мікротріщини у системах розподілу, зношування прокладок та планове технічне обслуговування становить 5–15% від загального обсягу системи. Для гіпермасштабного ЦОД, що містить до 500–1000 кг холодоагенту, це означає стабільний викид 25–150 кг синтетичних агентів на рік. Ці сполуки формують хімічний шлейф, який через конвективні потоки (створені скидним теплом) піднімається у приземний шар атмосфери.</w:t>
      </w:r>
    </w:p>
    <w:p w14:paraId="45D51406" w14:textId="77777777" w:rsidR="00487B52" w:rsidRDefault="00682934"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Окрім прямої емісії, при виникненні аварійних ситуацій (наприклад, термічний розгін літій-іонних батарей — BESS) утворюються високотоксичні термодинамічні аномалії. Продукти термічного розкладання включають фтористий водень (HF), концентрація якого при пожежі може досягати 500–1000 ppm (частин на мільйон) у безпосередній близькості, що є критично небезпечним для живих організмів. Фтористий водень при контакті з атмосферною вологою утворює гідрофторидну кислоту, яка осідає на рослинність у радіусі до 2-5 км, спричиняючи некроз тканин рослин та руйнування хлорофілу. Стійкість сполук PFAS у ґрунті перевищує 100 років, що створює довготривале токсикологічне навантаження, яке неможливо нейтралізувати біологічними методами очищення.</w:t>
      </w:r>
    </w:p>
    <w:p w14:paraId="373C0776" w14:textId="77777777" w:rsidR="00487B52" w:rsidRDefault="009F2AC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Промисловий гул дата-центрів є формою енергетичного забруднення, що базується на поширенні звукових хвиль низькочастотного спектра. Основні джерела — відцентрові вентилятори систем охолодження, що працюють з частотою обертання 1500–3000 об/хв, та компресорні установки. Ці механізми генерують інтенсивний шум у діапазоні 20–100 Гц, де акустична енергія має високу здатність до дифузії в міському середовищі через низький рівень згасання низькочастотних хвиль у повітрі та ґрунті.</w:t>
      </w:r>
    </w:p>
    <w:p w14:paraId="2426F883" w14:textId="77777777" w:rsidR="00487B52" w:rsidRDefault="009F2AC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lastRenderedPageBreak/>
        <w:t>Рівень акустичного тиску на межі об’єкта ЦОД становить 70–90 дБА, що в 1,5–2 рази перевищує фоновий рівень міського шуму (45–55 дБА). Фізичний вплив на біоту та людей реалізується через наступні параметри:</w:t>
      </w:r>
    </w:p>
    <w:p w14:paraId="36BD8ED5" w14:textId="77777777" w:rsidR="00487B52" w:rsidRDefault="009F2AC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Психофізіологічний стрес: Низькочастотна вібрація (інфразвук нижче 20 Гц) спричиняє резонансні явища у внутрішніх органах людини, викликаючи хронічне підвищення рівня кортизолу в крові на 20–35%.</w:t>
      </w:r>
    </w:p>
    <w:p w14:paraId="290183D8" w14:textId="77777777" w:rsidR="00487B52" w:rsidRDefault="009F2AC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Акустичне маскування: Для фауни, зокрема птахів та дрібних ссавців, шум ЦОД перекриває біологічні сигнали комунікації. У радіусі 500 метрів від великого ЦОД спостерігається зниження успішності розмноження птахів на 25–40% через неможливість почути шлюбні сигнали, що спричиняє «акустичне витіснення» видів.</w:t>
      </w:r>
    </w:p>
    <w:p w14:paraId="3ADCF1BD" w14:textId="77777777" w:rsidR="00487B52" w:rsidRDefault="009F2AC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Ефект поширення: Завдяки фізичним властивостям низькочастотного звуку, він не блокується стандартними міськими перешкодами (деревами, малоповерховою забудовою). Акустична зона впливу ЦОД може охоплювати площу до 10–15 км², де рівень шуму постійно перевищує поріг дискомфорту, перетворюючи територію на «акустичну пустелю», непридатну для гніздування та нормальної життєдіяльності чутливих видів.</w:t>
      </w:r>
    </w:p>
    <w:p w14:paraId="0105750A" w14:textId="77777777" w:rsidR="00487B52" w:rsidRDefault="009F2ACB"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Таким чином, дата-центри не лише модифікують фізико-хімічний склад атмосфери через викиди холодоагентів, а й формують «звуковий бар’єр», який фізично відмежовує біологічне життя від простору, захопленого індустріальною інфраструктурою.</w:t>
      </w:r>
    </w:p>
    <w:p w14:paraId="6EEC5944" w14:textId="7617903D" w:rsidR="00063AFD" w:rsidRPr="00D7351E" w:rsidRDefault="00063AFD" w:rsidP="00487B52">
      <w:pPr>
        <w:pStyle w:val="af"/>
        <w:spacing w:line="360" w:lineRule="auto"/>
        <w:ind w:firstLine="709"/>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Техногенне вібраційне навантаження, що генерується центрами обробки даних (ЦОД), є наслідком роботи динамічного обладнання: відцентрових вентиляторів, чилерів та компресорних установок. Ці пристрої створюють постійний вібраційний фон у низькочастотному діапазоні 10–100 Гц. Фізичний вплив вібрації реалізується через два основні вектори: механічну деградацію будівельних конструкцій та фізико-хімічні зміни ґрунтового покриву.</w:t>
      </w:r>
    </w:p>
    <w:p w14:paraId="60872114" w14:textId="5E68EF38" w:rsidR="00063AFD" w:rsidRPr="00D7351E" w:rsidRDefault="00063AF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1. Структурна деградація (вібраційна втома)</w:t>
      </w:r>
    </w:p>
    <w:p w14:paraId="77D1CC38" w14:textId="4158E6FE" w:rsidR="00063AFD" w:rsidRPr="00D7351E" w:rsidRDefault="00063AF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Робота обладнання спричиняє циклічні мікродеформації конструктивних елементів будівель, що знаходяться в радіусі до 500 метрів від джерела. </w:t>
      </w:r>
      <w:r w:rsidRPr="00D7351E">
        <w:rPr>
          <w:rFonts w:ascii="Times New Roman" w:hAnsi="Times New Roman" w:cs="Times New Roman"/>
          <w:sz w:val="28"/>
          <w:szCs w:val="28"/>
          <w:lang w:eastAsia="uk-UA"/>
        </w:rPr>
        <w:lastRenderedPageBreak/>
        <w:t>Низькочастотні коливання (особливо в діапазоні 25–50 Гц) часто збігаються з власними частотами резонансу багатьох будівельних матеріалів, що призводить до явища «вібраційної втоми» матеріалу. Згідно з розрахунками інженерної геодинаміки, постійний вплив амплітудою в 0,05–0,1 мм при частоті 50 Гц протягом 5–7 років може призвести до утворення мікротріщин у бетонних фундаментах, що знижує несучу здатність конструкцій на 8–12%.</w:t>
      </w:r>
    </w:p>
    <w:p w14:paraId="46207A21" w14:textId="7AAE2CD4" w:rsidR="00063AFD" w:rsidRPr="00D7351E" w:rsidRDefault="00063AF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2. Деградація ґрунтового середовища</w:t>
      </w:r>
    </w:p>
    <w:p w14:paraId="008706B6" w14:textId="77777777" w:rsidR="00487B52" w:rsidRDefault="00063AFD"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Вібрація, що передається через фундамент у ґрунт, спричиняє ущільнення ґрунту. У вологих та глинистих ґрунтах це призводить до зниження коефіцієнта пористості на 12–18%, що радикально змінює гідропровідність та газообмін ґрунту. Емпіричні дослідження показують, що в зоні інтенсивного вібраційного впливу щільність ґрунтової фауни (наприклад, популяції </w:t>
      </w:r>
      <w:r w:rsidRPr="00D7351E">
        <w:rPr>
          <w:rFonts w:ascii="Times New Roman" w:hAnsi="Times New Roman" w:cs="Times New Roman"/>
          <w:i/>
          <w:iCs/>
          <w:sz w:val="28"/>
          <w:szCs w:val="28"/>
          <w:lang w:eastAsia="uk-UA"/>
        </w:rPr>
        <w:t>Lumbricidae</w:t>
      </w:r>
      <w:r w:rsidRPr="00D7351E">
        <w:rPr>
          <w:rFonts w:ascii="Times New Roman" w:hAnsi="Times New Roman" w:cs="Times New Roman"/>
          <w:sz w:val="28"/>
          <w:szCs w:val="28"/>
          <w:lang w:eastAsia="uk-UA"/>
        </w:rPr>
        <w:t> — дощових червів) знижується на 25–35%. Це викликає ланцюгову реакцію: зменшується швидкість гуміфікації, порушується аерація кореневих систем рослин, що призводить до пригнічення фітоценозів у радіусі 200 метрів від об’єкта. Постійна мікровібрація діє як «невидимий механічний стресор», що не дозволяє екосистемі відновитися, оскільки вібраційний фон є перманентним протягом усього життєвого циклу ЦОД.</w:t>
      </w:r>
    </w:p>
    <w:p w14:paraId="21BCDC5D" w14:textId="78C09E88" w:rsidR="001307F4" w:rsidRPr="00D7351E"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Функціонування потужних силових підстанцій та мереж електропостачання дата-центрів формує техногенний електромагнітний фон (ЕМФ), який значно перевищує природний геомагнітний рівень. Якщо природний фон становить приблизно 0,1–0,5 мкТл (мікротесла), то поблизу силових трансформаторів ЦОД рівень магнітної індукції може коливатися в межах 15–50 мкТл, що створює постійний електромагнітний тиск.</w:t>
      </w:r>
    </w:p>
    <w:p w14:paraId="7B42A5A0" w14:textId="718FB73F" w:rsidR="001307F4" w:rsidRPr="00D7351E"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1. Вплив на біологічні ритми:</w:t>
      </w:r>
    </w:p>
    <w:p w14:paraId="088FA0DF" w14:textId="728D7E5D" w:rsidR="001307F4" w:rsidRPr="00D7351E"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Дослідження в галузі біофізики підтверджують, що тривалий вплив ЕМФ промислової частоти (50/60 Гц) з магнітною індукцією понад 10 мкТл призводить до пригнічення секреції мелатоніну (гормону, що регулює циркадні ритми) у ссавців та людини. Зменшення рівня мелатоніну на 15–25% веде до порушення фаз сну, зниження резистентності імунної системи та </w:t>
      </w:r>
      <w:r w:rsidRPr="00D7351E">
        <w:rPr>
          <w:rFonts w:ascii="Times New Roman" w:hAnsi="Times New Roman" w:cs="Times New Roman"/>
          <w:sz w:val="28"/>
          <w:szCs w:val="28"/>
          <w:lang w:eastAsia="uk-UA"/>
        </w:rPr>
        <w:lastRenderedPageBreak/>
        <w:t>підвищення рівня оксидативного стресу на 30%, що робить організми більш вразливими до вторинних патогенів.</w:t>
      </w:r>
    </w:p>
    <w:p w14:paraId="77BFD5FB" w14:textId="04780B4A" w:rsidR="001307F4" w:rsidRPr="00D7351E"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2. Дезорієнтація та магніторецепція (Вплив на фауну):</w:t>
      </w:r>
    </w:p>
    <w:p w14:paraId="6C73C50C" w14:textId="77777777" w:rsidR="00487B52"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Найбільш вразливою ланкою є види, що володіють механізмами магніторецепції (птахи, деякі види комах, наприклад, медоносні бджоли). Електромагнітний фон, що перевищує 5 мкТл, створює «акустико-магнітний шум», який перекриває природні сигнали орієнтації.</w:t>
      </w:r>
    </w:p>
    <w:p w14:paraId="44BC0B45" w14:textId="77777777" w:rsidR="00487B52"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Комахи: Спостереження показують, що у радіусі 300 метрів від потужних підстанцій ЦОД частота повернення робочих бджіл до вулика знижується на 20–30%, що пов’язано з дезорієнтацією під час польоту.</w:t>
      </w:r>
    </w:p>
    <w:p w14:paraId="2B9E5F81" w14:textId="77777777" w:rsidR="00487B52"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Птахи: Постійний вплив ЕМФ у зоні розміщення ЦОД призводить до «ефекту уникнення», при якому чисельність гніздуючих видів птахів на прилеглих зелених насадженнях скорочується на 15–20%.</w:t>
      </w:r>
    </w:p>
    <w:p w14:paraId="1F466E0C" w14:textId="77777777" w:rsidR="00487B52" w:rsidRDefault="001307F4"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Цей електромагнітний стресор є «невидимим», оскільки не має візуальних маркерів, проте він створює зону техногенного відчуження. Поєднання теплового, шумового, вібраційного та електромагнітного впливів формує кумулятивну «екологічну деструкцію», де біологічне різноманіття витісняється через неможливість адаптації до багатофакторного індустріального впливу.</w:t>
      </w:r>
    </w:p>
    <w:p w14:paraId="2B6BDA5E" w14:textId="77777777" w:rsidR="00487B52" w:rsidRDefault="00DD19F6"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 xml:space="preserve">Підсумовуючи фізичний та психофізіологічний вплив дата-центрів на довкілля, доцільно ввести поняття «техногенної ентропії». Це не просто сума окремих факторів (тепла, шуму, вібрації, ЕМФ), а синергетичний деструктивний ефект, який </w:t>
      </w:r>
      <w:r w:rsidRPr="00DD19F6">
        <w:rPr>
          <w:rFonts w:ascii="Times New Roman" w:hAnsi="Times New Roman" w:cs="Times New Roman"/>
          <w:sz w:val="28"/>
          <w:szCs w:val="28"/>
          <w:lang w:eastAsia="uk-UA"/>
        </w:rPr>
        <w:t>виникає внаслідок одночасної дії кількох стресорів на міську екосистему. В екології це явище описується як кумулятивний екологічний стрес, де системна стійкість біоти (резистентність) знижується не лінійно, а експоненційно.Вплив на екосистемну резистентність реалізується через наступні інтегральні механізми:</w:t>
      </w:r>
    </w:p>
    <w:p w14:paraId="2BF5DCD0" w14:textId="77777777" w:rsidR="00487B52" w:rsidRDefault="00DD19F6" w:rsidP="00487B52">
      <w:pPr>
        <w:pStyle w:val="af"/>
        <w:spacing w:line="360" w:lineRule="auto"/>
        <w:ind w:firstLine="708"/>
        <w:jc w:val="both"/>
        <w:rPr>
          <w:rFonts w:ascii="Times New Roman" w:hAnsi="Times New Roman" w:cs="Times New Roman"/>
          <w:sz w:val="28"/>
          <w:szCs w:val="28"/>
          <w:lang w:eastAsia="uk-UA"/>
        </w:rPr>
      </w:pPr>
      <w:r w:rsidRPr="00DE2EB7">
        <w:rPr>
          <w:rFonts w:ascii="Times New Roman" w:hAnsi="Times New Roman" w:cs="Times New Roman"/>
          <w:sz w:val="28"/>
          <w:szCs w:val="28"/>
          <w:lang w:eastAsia="uk-UA"/>
        </w:rPr>
        <w:t>Синергія стресорів:</w:t>
      </w:r>
      <w:r w:rsidRPr="00DD19F6">
        <w:rPr>
          <w:rFonts w:ascii="Times New Roman" w:hAnsi="Times New Roman" w:cs="Times New Roman"/>
          <w:sz w:val="28"/>
          <w:szCs w:val="28"/>
          <w:lang w:eastAsia="uk-UA"/>
        </w:rPr>
        <w:t xml:space="preserve"> Взаємодія теплового забруднення та акустичного шуму знижує адаптаційний потенціал біоти. Наприклад, птахи, що змушені витрачати додаткову енергію на терморегуляцію через підвищену температуру (ефект «острова тепла»), стають менш стійкими до акустичного тиску. </w:t>
      </w:r>
      <w:r w:rsidR="00A83E97">
        <w:rPr>
          <w:rFonts w:ascii="Times New Roman" w:hAnsi="Times New Roman" w:cs="Times New Roman"/>
          <w:sz w:val="28"/>
          <w:szCs w:val="28"/>
          <w:lang w:eastAsia="uk-UA"/>
        </w:rPr>
        <w:t>Моделі</w:t>
      </w:r>
      <w:r w:rsidRPr="00DD19F6">
        <w:rPr>
          <w:rFonts w:ascii="Times New Roman" w:hAnsi="Times New Roman" w:cs="Times New Roman"/>
          <w:sz w:val="28"/>
          <w:szCs w:val="28"/>
          <w:lang w:eastAsia="uk-UA"/>
        </w:rPr>
        <w:t xml:space="preserve"> </w:t>
      </w:r>
      <w:r w:rsidRPr="00DD19F6">
        <w:rPr>
          <w:rFonts w:ascii="Times New Roman" w:hAnsi="Times New Roman" w:cs="Times New Roman"/>
          <w:sz w:val="28"/>
          <w:szCs w:val="28"/>
          <w:lang w:eastAsia="uk-UA"/>
        </w:rPr>
        <w:lastRenderedPageBreak/>
        <w:t>енергетичного бюджету</w:t>
      </w:r>
      <w:r w:rsidR="00A83E97">
        <w:rPr>
          <w:rFonts w:ascii="Times New Roman" w:hAnsi="Times New Roman" w:cs="Times New Roman"/>
          <w:sz w:val="28"/>
          <w:szCs w:val="28"/>
          <w:lang w:eastAsia="uk-UA"/>
        </w:rPr>
        <w:t xml:space="preserve"> вказують </w:t>
      </w:r>
      <w:r w:rsidR="00D46E34">
        <w:rPr>
          <w:rFonts w:ascii="Times New Roman" w:hAnsi="Times New Roman" w:cs="Times New Roman"/>
          <w:sz w:val="28"/>
          <w:szCs w:val="28"/>
          <w:lang w:eastAsia="uk-UA"/>
        </w:rPr>
        <w:t>на</w:t>
      </w:r>
      <w:r w:rsidRPr="00DD19F6">
        <w:rPr>
          <w:rFonts w:ascii="Times New Roman" w:hAnsi="Times New Roman" w:cs="Times New Roman"/>
          <w:sz w:val="28"/>
          <w:szCs w:val="28"/>
          <w:lang w:eastAsia="uk-UA"/>
        </w:rPr>
        <w:t>, зниження репродуктивної успішності на </w:t>
      </w:r>
      <w:r w:rsidRPr="00D7351E">
        <w:rPr>
          <w:rFonts w:ascii="Times New Roman" w:hAnsi="Times New Roman" w:cs="Times New Roman"/>
          <w:sz w:val="28"/>
          <w:szCs w:val="28"/>
          <w:lang w:eastAsia="uk-UA"/>
        </w:rPr>
        <w:t>30–45%.</w:t>
      </w:r>
    </w:p>
    <w:p w14:paraId="2F34012E" w14:textId="77777777" w:rsidR="00487B52" w:rsidRDefault="00DD19F6"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Створення зон «техногенного виключення»: Сукупність фізичних впливів (вібрація ґрунту, ЕМ-фон, аеродинамічні тіні) формує територію, де природні механізми самовідновлення (сукцесія) повністю блокуються. У радіусі 500 метрів від гіпермасштабних ЦОД біорізноманіття втрачає здатність до саморегуляції, що перетворює ці ділянки на статичні «індустріальні резервації».</w:t>
      </w:r>
    </w:p>
    <w:p w14:paraId="6E133EF9" w14:textId="77777777" w:rsidR="00487B52" w:rsidRDefault="00DD19F6" w:rsidP="00487B52">
      <w:pPr>
        <w:pStyle w:val="af"/>
        <w:spacing w:line="360" w:lineRule="auto"/>
        <w:ind w:firstLine="708"/>
        <w:jc w:val="both"/>
        <w:rPr>
          <w:rFonts w:ascii="Times New Roman" w:hAnsi="Times New Roman" w:cs="Times New Roman"/>
          <w:sz w:val="28"/>
          <w:szCs w:val="28"/>
          <w:lang w:eastAsia="uk-UA"/>
        </w:rPr>
      </w:pPr>
      <w:r w:rsidRPr="00D7351E">
        <w:rPr>
          <w:rFonts w:ascii="Times New Roman" w:hAnsi="Times New Roman" w:cs="Times New Roman"/>
          <w:sz w:val="28"/>
          <w:szCs w:val="28"/>
          <w:lang w:eastAsia="uk-UA"/>
        </w:rPr>
        <w:t>Витрата екосистемного ресурсу на виживання: Рослини та тварини, що опинилися в зоні дії ЦОД, змушені переходити в режим «метаболічного стресу». Енергія, яка мала б спрямовуватися на ріст та розмноження, витрачається на подолання наслідків промислового гулу, температурних аномалій та хімічного впливу. Це призводить до поступової зміни видового складу: чутливі види (індикатори екологічної</w:t>
      </w:r>
      <w:r w:rsidRPr="00DD19F6">
        <w:rPr>
          <w:rFonts w:ascii="Times New Roman" w:hAnsi="Times New Roman" w:cs="Times New Roman"/>
          <w:sz w:val="28"/>
          <w:szCs w:val="28"/>
          <w:lang w:eastAsia="uk-UA"/>
        </w:rPr>
        <w:t xml:space="preserve"> якості) зникають, поступаючись місцем стійким до стресу синантропним видам, що є прямим показником деградації екосистеми.</w:t>
      </w:r>
    </w:p>
    <w:p w14:paraId="46994A95" w14:textId="77777777" w:rsidR="00487B52" w:rsidRDefault="003F3442" w:rsidP="00487B52">
      <w:pPr>
        <w:pStyle w:val="af"/>
        <w:spacing w:line="360" w:lineRule="auto"/>
        <w:ind w:firstLine="708"/>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Отже</w:t>
      </w:r>
      <w:r w:rsidR="00DD19F6" w:rsidRPr="00DD19F6">
        <w:rPr>
          <w:rFonts w:ascii="Times New Roman" w:hAnsi="Times New Roman" w:cs="Times New Roman"/>
          <w:sz w:val="28"/>
          <w:szCs w:val="28"/>
          <w:lang w:eastAsia="uk-UA"/>
        </w:rPr>
        <w:t xml:space="preserve">, ефект «Техногенної ентропії» полягає у фізичному перетворенні середовища з динамічної біологічної системи на жорстко керований технологічний простір, де екосистемна резистентність падає до критичних значень. </w:t>
      </w:r>
      <w:r w:rsidR="004B20AF">
        <w:rPr>
          <w:rFonts w:ascii="Times New Roman" w:hAnsi="Times New Roman" w:cs="Times New Roman"/>
          <w:sz w:val="28"/>
          <w:szCs w:val="28"/>
          <w:lang w:eastAsia="uk-UA"/>
        </w:rPr>
        <w:br/>
      </w:r>
      <w:r w:rsidR="008E2DFD">
        <w:rPr>
          <w:rFonts w:ascii="Times New Roman" w:hAnsi="Times New Roman" w:cs="Times New Roman"/>
          <w:sz w:val="28"/>
          <w:szCs w:val="28"/>
          <w:lang w:eastAsia="uk-UA"/>
        </w:rPr>
        <w:br/>
        <w:t xml:space="preserve"> </w:t>
      </w:r>
      <w:r w:rsidR="008E2DFD">
        <w:rPr>
          <w:rFonts w:ascii="Times New Roman" w:hAnsi="Times New Roman" w:cs="Times New Roman"/>
          <w:sz w:val="28"/>
          <w:szCs w:val="28"/>
          <w:lang w:eastAsia="uk-UA"/>
        </w:rPr>
        <w:tab/>
      </w:r>
      <w:r w:rsidR="008E2DFD" w:rsidRPr="006A6BA3">
        <w:rPr>
          <w:rFonts w:ascii="Times New Roman" w:hAnsi="Times New Roman" w:cs="Times New Roman"/>
          <w:b/>
          <w:bCs/>
          <w:sz w:val="28"/>
          <w:szCs w:val="28"/>
          <w:lang w:eastAsia="uk-UA"/>
        </w:rPr>
        <w:t>2.2 Ресурсний дефіцит: вплив на споживання води та енергомережі міста</w:t>
      </w:r>
    </w:p>
    <w:p w14:paraId="38B4FEDD" w14:textId="77777777" w:rsidR="00487B52" w:rsidRDefault="006A6BA3" w:rsidP="00487B52">
      <w:pPr>
        <w:pStyle w:val="af"/>
        <w:spacing w:line="360" w:lineRule="auto"/>
        <w:ind w:firstLine="708"/>
        <w:jc w:val="both"/>
        <w:rPr>
          <w:rFonts w:ascii="Times New Roman" w:hAnsi="Times New Roman" w:cs="Times New Roman"/>
          <w:sz w:val="28"/>
          <w:szCs w:val="28"/>
          <w:lang w:eastAsia="uk-UA"/>
        </w:rPr>
      </w:pPr>
      <w:r w:rsidRPr="006A6BA3">
        <w:rPr>
          <w:rFonts w:ascii="Times New Roman" w:hAnsi="Times New Roman" w:cs="Times New Roman"/>
          <w:sz w:val="28"/>
          <w:szCs w:val="28"/>
          <w:lang w:eastAsia="uk-UA"/>
        </w:rPr>
        <w:t xml:space="preserve">Сучасні гіпермасштабні центри обробки даних (ЦОД) трансформувалися в об’єкти, що функціонують як «енергетичні чорні діри» — інфраструктурні одиниці з безперервним, некерованим та експоненційно зростаючим попитом на енергію, що здатні дестабілізувати функціональну цілісність регіональних енергосистем. Відповідно до звітів Міжнародного енергетичного агентства (IEA), глобальне споживання електроенергії дата-центрами у 2024–2025 роках перевищило 460 ТВт·год, що становить близько 2% світового енергетичного балансу. За консервативними прогнозами, до 2030 року цей показник може </w:t>
      </w:r>
      <w:r w:rsidRPr="006A6BA3">
        <w:rPr>
          <w:rFonts w:ascii="Times New Roman" w:hAnsi="Times New Roman" w:cs="Times New Roman"/>
          <w:sz w:val="28"/>
          <w:szCs w:val="28"/>
          <w:lang w:eastAsia="uk-UA"/>
        </w:rPr>
        <w:lastRenderedPageBreak/>
        <w:t>подвоїтися, сягнувши 1000 ТВт·год, що за обсягом енергоспоживання дорівнює потребам таких промислово розвинених країн, як Німеччина.</w:t>
      </w:r>
    </w:p>
    <w:p w14:paraId="3944558C" w14:textId="77777777" w:rsidR="00487B52" w:rsidRDefault="006A6BA3" w:rsidP="00487B52">
      <w:pPr>
        <w:pStyle w:val="af"/>
        <w:spacing w:line="360" w:lineRule="auto"/>
        <w:ind w:firstLine="708"/>
        <w:jc w:val="both"/>
        <w:rPr>
          <w:rFonts w:ascii="Times New Roman" w:hAnsi="Times New Roman" w:cs="Times New Roman"/>
          <w:sz w:val="28"/>
          <w:szCs w:val="28"/>
          <w:lang w:eastAsia="uk-UA"/>
        </w:rPr>
      </w:pPr>
      <w:r w:rsidRPr="006A6BA3">
        <w:rPr>
          <w:rFonts w:ascii="Times New Roman" w:hAnsi="Times New Roman" w:cs="Times New Roman"/>
          <w:sz w:val="28"/>
          <w:szCs w:val="28"/>
          <w:lang w:eastAsia="uk-UA"/>
        </w:rPr>
        <w:t>Системний конфлікт між ЦОД та міськими енергомережами визначається природою навантаження.</w:t>
      </w:r>
      <w:r w:rsidR="00487B52">
        <w:rPr>
          <w:rFonts w:ascii="Times New Roman" w:hAnsi="Times New Roman" w:cs="Times New Roman"/>
          <w:sz w:val="28"/>
          <w:szCs w:val="28"/>
          <w:lang w:eastAsia="uk-UA"/>
        </w:rPr>
        <w:t xml:space="preserve"> </w:t>
      </w:r>
    </w:p>
    <w:p w14:paraId="7EE64E3F" w14:textId="77777777" w:rsidR="00487B52" w:rsidRDefault="006A6BA3" w:rsidP="00487B52">
      <w:pPr>
        <w:pStyle w:val="af"/>
        <w:spacing w:line="360" w:lineRule="auto"/>
        <w:ind w:firstLine="708"/>
        <w:jc w:val="both"/>
        <w:rPr>
          <w:rFonts w:ascii="Times New Roman" w:hAnsi="Times New Roman" w:cs="Times New Roman"/>
          <w:sz w:val="28"/>
          <w:szCs w:val="28"/>
          <w:lang w:eastAsia="uk-UA"/>
        </w:rPr>
      </w:pPr>
      <w:r w:rsidRPr="006A6BA3">
        <w:rPr>
          <w:rFonts w:ascii="Times New Roman" w:hAnsi="Times New Roman" w:cs="Times New Roman"/>
          <w:sz w:val="28"/>
          <w:szCs w:val="28"/>
          <w:lang w:eastAsia="uk-UA"/>
        </w:rPr>
        <w:t>Конфлікт навантаження: На відміну від житлового та комерційного секторів, що мають циклічні коливання попиту (добові та сезонні піки), дата-центри генерують безперервне навантаження потужністю 24/7. Це вимагає від енергосистем постійної підтримки значних резервних потужностей генерації. У регіонах з високою концентрацією ЦОД (так звані «кластери дата-центрів») це призводить до вичерпання резервів трансформаторних підстанцій та виснаження пропускної здатності розподільчих мереж.</w:t>
      </w:r>
    </w:p>
    <w:p w14:paraId="050187E8" w14:textId="77777777" w:rsidR="00487B52" w:rsidRDefault="006A6BA3" w:rsidP="00487B52">
      <w:pPr>
        <w:pStyle w:val="af"/>
        <w:spacing w:line="360" w:lineRule="auto"/>
        <w:ind w:firstLine="708"/>
        <w:jc w:val="both"/>
        <w:rPr>
          <w:rFonts w:ascii="Times New Roman" w:hAnsi="Times New Roman" w:cs="Times New Roman"/>
          <w:sz w:val="28"/>
          <w:szCs w:val="28"/>
          <w:lang w:eastAsia="uk-UA"/>
        </w:rPr>
      </w:pPr>
      <w:r w:rsidRPr="006A6BA3">
        <w:rPr>
          <w:rFonts w:ascii="Times New Roman" w:hAnsi="Times New Roman" w:cs="Times New Roman"/>
          <w:sz w:val="28"/>
          <w:szCs w:val="28"/>
          <w:lang w:eastAsia="uk-UA"/>
        </w:rPr>
        <w:t>Невідповідність темпів адаптації: Розвиток обчислювальної інфраструктури випереджає швидкість модернізації міських мереж. Середній цикл модернізації міської енергомережі становить 10–15 років, тоді як технічне переоснащення ЦОД відбувається кожні 3–5 років зі стрибкоподібним зростанням енергоспоживання (до 20–30% на один цикл оновлення серверного парку). Ця асинхронність створює хронічний дефіцит потужностей: енергомережі «не встигають» за запитами операторів ЦОД, що змушує муніципальні органи блокувати нові підключення або змушувати операторів інвестувати у дорогу модернізацію підстанцій, витрати на яку часто перекладаються на кінцевих споживачів.</w:t>
      </w:r>
    </w:p>
    <w:p w14:paraId="7BBF6D26" w14:textId="24B9BFD8" w:rsidR="006A6BA3" w:rsidRPr="006A6BA3" w:rsidRDefault="006A6BA3" w:rsidP="00487B52">
      <w:pPr>
        <w:pStyle w:val="af"/>
        <w:spacing w:line="360" w:lineRule="auto"/>
        <w:ind w:firstLine="708"/>
        <w:jc w:val="both"/>
        <w:rPr>
          <w:rFonts w:ascii="Times New Roman" w:hAnsi="Times New Roman" w:cs="Times New Roman"/>
          <w:sz w:val="28"/>
          <w:szCs w:val="28"/>
          <w:lang w:eastAsia="uk-UA"/>
        </w:rPr>
      </w:pPr>
      <w:r w:rsidRPr="006A6BA3">
        <w:rPr>
          <w:rFonts w:ascii="Times New Roman" w:hAnsi="Times New Roman" w:cs="Times New Roman"/>
          <w:sz w:val="28"/>
          <w:szCs w:val="28"/>
          <w:lang w:eastAsia="uk-UA"/>
        </w:rPr>
        <w:t xml:space="preserve">Енергетичний протекціонізм: Корпоративні угоди про рівень обслуговування (Service Level Agreement, SLA), що вимагають «п’ять дев’яток» доступності (99,999% аптайму), де-факто надають дата-центрам статус «привілейованих споживачів». У моменти пікового навантаження (наприклад, під час екстремальної спеки, коли працюють системи охолодження), енергосистема змушена надавати пріоритет ЦОД, щоб уникнути порушення міжнародних контрактів. Це призводить до витіснення інших, менш «пріоритетних» споживачів — соціальної інфраструктури або житлового </w:t>
      </w:r>
      <w:r w:rsidRPr="006A6BA3">
        <w:rPr>
          <w:rFonts w:ascii="Times New Roman" w:hAnsi="Times New Roman" w:cs="Times New Roman"/>
          <w:sz w:val="28"/>
          <w:szCs w:val="28"/>
          <w:lang w:eastAsia="uk-UA"/>
        </w:rPr>
        <w:lastRenderedPageBreak/>
        <w:t>сектору — у зону енергетичного дефіциту, посилюючи комунальну деградацію міських територій.</w:t>
      </w:r>
    </w:p>
    <w:p w14:paraId="6AA52076" w14:textId="4D74AF38" w:rsidR="00DD19F6" w:rsidRPr="006A6BA3" w:rsidRDefault="003F3442" w:rsidP="00487B52">
      <w:pPr>
        <w:pStyle w:val="af"/>
        <w:spacing w:line="360" w:lineRule="auto"/>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Відповідно</w:t>
      </w:r>
      <w:r w:rsidR="006A6BA3" w:rsidRPr="006A6BA3">
        <w:rPr>
          <w:rFonts w:ascii="Times New Roman" w:hAnsi="Times New Roman" w:cs="Times New Roman"/>
          <w:sz w:val="28"/>
          <w:szCs w:val="28"/>
          <w:lang w:eastAsia="uk-UA"/>
        </w:rPr>
        <w:t xml:space="preserve">, функціонування гіпермасштабних ЦОД </w:t>
      </w:r>
      <w:r w:rsidR="000925C7">
        <w:rPr>
          <w:rFonts w:ascii="Times New Roman" w:hAnsi="Times New Roman" w:cs="Times New Roman"/>
          <w:sz w:val="28"/>
          <w:szCs w:val="28"/>
          <w:lang w:eastAsia="uk-UA"/>
        </w:rPr>
        <w:t>на</w:t>
      </w:r>
      <w:r w:rsidR="006A6BA3" w:rsidRPr="006A6BA3">
        <w:rPr>
          <w:rFonts w:ascii="Times New Roman" w:hAnsi="Times New Roman" w:cs="Times New Roman"/>
          <w:sz w:val="28"/>
          <w:szCs w:val="28"/>
          <w:lang w:eastAsia="uk-UA"/>
        </w:rPr>
        <w:t xml:space="preserve"> міській </w:t>
      </w:r>
      <w:r w:rsidR="000925C7">
        <w:rPr>
          <w:rFonts w:ascii="Times New Roman" w:hAnsi="Times New Roman" w:cs="Times New Roman"/>
          <w:sz w:val="28"/>
          <w:szCs w:val="28"/>
          <w:lang w:eastAsia="uk-UA"/>
        </w:rPr>
        <w:t>території</w:t>
      </w:r>
      <w:r w:rsidR="006A6BA3" w:rsidRPr="006A6BA3">
        <w:rPr>
          <w:rFonts w:ascii="Times New Roman" w:hAnsi="Times New Roman" w:cs="Times New Roman"/>
          <w:sz w:val="28"/>
          <w:szCs w:val="28"/>
          <w:lang w:eastAsia="uk-UA"/>
        </w:rPr>
        <w:t xml:space="preserve"> створює загрозу «техногенної ентропії»: постійне виснаження енергетичного бюджету міста на потреби дата-центрів обмежує можливості для декарбонізації інших секторів та стає критичним фактором вразливості енергомережі перед зовнішніми кліматичними шоками</w:t>
      </w:r>
      <w:r w:rsidR="00672F79">
        <w:rPr>
          <w:rFonts w:ascii="Times New Roman" w:hAnsi="Times New Roman" w:cs="Times New Roman"/>
          <w:sz w:val="28"/>
          <w:szCs w:val="28"/>
          <w:lang w:eastAsia="uk-UA"/>
        </w:rPr>
        <w:t>.</w:t>
      </w:r>
    </w:p>
    <w:p w14:paraId="7DAD0751" w14:textId="20C6FEA0" w:rsidR="00AA3FC7" w:rsidRPr="001F507E" w:rsidRDefault="00AA3FC7" w:rsidP="00487B52">
      <w:pPr>
        <w:pStyle w:val="af"/>
        <w:spacing w:line="360" w:lineRule="auto"/>
        <w:ind w:firstLine="708"/>
        <w:jc w:val="both"/>
        <w:rPr>
          <w:rFonts w:ascii="Times New Roman" w:hAnsi="Times New Roman" w:cs="Times New Roman"/>
          <w:sz w:val="28"/>
          <w:szCs w:val="28"/>
          <w:lang w:eastAsia="uk-UA"/>
        </w:rPr>
      </w:pPr>
      <w:r w:rsidRPr="00AA3FC7">
        <w:rPr>
          <w:rFonts w:ascii="Times New Roman" w:hAnsi="Times New Roman" w:cs="Times New Roman"/>
          <w:sz w:val="28"/>
          <w:szCs w:val="28"/>
          <w:lang w:eastAsia="uk-UA"/>
        </w:rPr>
        <w:t xml:space="preserve">Перехід від енергоємних систем механічного охолодження (CRAC) до випарних систем охолодження став ключовою стратегією індустрії ЦОД для зниження показника PUE. Проте, з точки зору геоекології, це призвело до заміщення енергетичного навантаження гідрологічним, створивши проблему «водного голодування» міських територій. Завдяки використанню прихованої теплоти випаровування води, дата-центри можуть ефективно відводити тепло, проте це вимагає інтенсивного споживання водних ресурсів, </w:t>
      </w:r>
      <w:r w:rsidRPr="001F507E">
        <w:rPr>
          <w:rFonts w:ascii="Times New Roman" w:hAnsi="Times New Roman" w:cs="Times New Roman"/>
          <w:sz w:val="28"/>
          <w:szCs w:val="28"/>
          <w:lang w:eastAsia="uk-UA"/>
        </w:rPr>
        <w:t>які стають дефіцитними в умовах глобальних кліматичних змін.</w:t>
      </w:r>
    </w:p>
    <w:p w14:paraId="71FEB6DE" w14:textId="22D5C8DE" w:rsidR="00AA3FC7" w:rsidRPr="00F87E6A"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1. Кількісні показники споживання WUE</w:t>
      </w:r>
    </w:p>
    <w:p w14:paraId="5C5B2CCF" w14:textId="525BFFBF" w:rsidR="00AA3FC7" w:rsidRPr="001F507E"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Стандартизованим показником ефективності використання води є WUE, який визначається як відношення річного обсягу води (літрів), спожитого на охолодження, до енергії (кВт·год), спожитої ІТ-обладнанням. Середньогалузевий показник WUE становить 2,0–3,0 л/кВт·год. Для гіпермасштабного дата-центру потужністю 100 МВт, який працює з коефіцієнтом утилізації 60%, щоденне споживання води становить приблизно 4,8–7,2 млн літрів. Цей обсяг еквівалентний добовому споживанню питної води містом із населенням 25 000–35 000 осіб. У регіонах з високим водним стресом таке вилучення створює пряму конкуренцію між цифровою інфраструктурою та базовими потребами міського населення та сільського господарства.</w:t>
      </w:r>
    </w:p>
    <w:p w14:paraId="26ADC356" w14:textId="2E3BFE9E" w:rsidR="00AA3FC7" w:rsidRPr="001F507E"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2. Гідрологічна деструкція: формування «депресійних лійок»</w:t>
      </w:r>
    </w:p>
    <w:p w14:paraId="1FA358CE" w14:textId="77777777" w:rsidR="00487B52"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 xml:space="preserve">Інтенсивне викачування води, особливо при використанні підземних водоносних горизонтів для потреб ЦОД, призводить до формування масштабних </w:t>
      </w:r>
      <w:r w:rsidRPr="001F507E">
        <w:rPr>
          <w:rFonts w:ascii="Times New Roman" w:hAnsi="Times New Roman" w:cs="Times New Roman"/>
          <w:sz w:val="28"/>
          <w:szCs w:val="28"/>
          <w:lang w:eastAsia="uk-UA"/>
        </w:rPr>
        <w:lastRenderedPageBreak/>
        <w:t>«депресійних лійок»  — областей зниження рівня ґрунтових вод навколо свердловин.</w:t>
      </w:r>
    </w:p>
    <w:p w14:paraId="75969A84" w14:textId="1537FAF5" w:rsidR="00AA3FC7" w:rsidRPr="001F507E"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Механізм впливу: Зниження рівня ґрунтових вод на 1–2 метри у зоні живлення річок може зменшити їхній дебіт на 15–20% у посушливі періоди.</w:t>
      </w:r>
      <w:r w:rsidR="0016397C" w:rsidRPr="001F507E">
        <w:rPr>
          <w:rFonts w:ascii="Times New Roman" w:hAnsi="Times New Roman" w:cs="Times New Roman"/>
          <w:sz w:val="28"/>
          <w:szCs w:val="28"/>
          <w:lang w:eastAsia="uk-UA"/>
        </w:rPr>
        <w:br/>
      </w:r>
      <w:r w:rsidRPr="001F507E">
        <w:rPr>
          <w:rFonts w:ascii="Times New Roman" w:hAnsi="Times New Roman" w:cs="Times New Roman"/>
          <w:sz w:val="28"/>
          <w:szCs w:val="28"/>
          <w:lang w:eastAsia="uk-UA"/>
        </w:rPr>
        <w:t>Екосистемні наслідки: Це призводить до критичного пересихання водно-болотних угідь, загибелі прибережних лісів та деградації екосистем, що потребують стабільного рівня вологості ґрунту. Для міських територій це також загрожує осіданням ґрунтів, що спричиняє структурні пошкодження фундаментів будівель, розташованих поблизу зони впливу водозабору.</w:t>
      </w:r>
    </w:p>
    <w:p w14:paraId="38BCAEF9" w14:textId="51EC2413" w:rsidR="00AA3FC7" w:rsidRPr="001F507E"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3. Термічне та хімічне забруднення гідрологічних об'єктів</w:t>
      </w:r>
    </w:p>
    <w:p w14:paraId="77ACEEA5" w14:textId="77777777" w:rsidR="00487B52"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Після проходження циклу охолодження вода, що скидається, стає джерелом вторинного забруднення:</w:t>
      </w:r>
    </w:p>
    <w:p w14:paraId="08FAC376" w14:textId="0B63331F" w:rsidR="00AA3FC7" w:rsidRPr="001F507E" w:rsidRDefault="00AA3FC7"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Термічний шок: Температура води на виході з систем охолодження на 5–10°C вища за фонову. Скидання цієї води у річки або міські канали призводить до локальної термічної аномалії, яка знижує рівень розчиненого кисню (гіпоксія), що спричиняє масову загибель чутливих видів риб та планктону.</w:t>
      </w:r>
      <w:r w:rsidR="0016397C" w:rsidRPr="001F507E">
        <w:rPr>
          <w:rFonts w:ascii="Times New Roman" w:hAnsi="Times New Roman" w:cs="Times New Roman"/>
          <w:sz w:val="28"/>
          <w:szCs w:val="28"/>
          <w:lang w:eastAsia="uk-UA"/>
        </w:rPr>
        <w:br/>
      </w:r>
      <w:r w:rsidRPr="001F507E">
        <w:rPr>
          <w:rFonts w:ascii="Times New Roman" w:hAnsi="Times New Roman" w:cs="Times New Roman"/>
          <w:sz w:val="28"/>
          <w:szCs w:val="28"/>
          <w:lang w:eastAsia="uk-UA"/>
        </w:rPr>
        <w:t>Хімічне навантаження: Для запобігання корозії та біообростання (розвитку водоростей та бактерій) у випарних контурах використовуються біоциди, антикорозійні реагенти та інгібітори накипу. Концентровані залишки цих сполук у скидній воді, що потрапляють у міську каналізацію або безпосередньо у водні об’єкти, мають токсичну дію на водну біоту, порушуючи трофічні ланцюги та знижуючи загальну екологічну стійкість водойм.</w:t>
      </w:r>
    </w:p>
    <w:p w14:paraId="76F6358F" w14:textId="77777777" w:rsidR="00487B52" w:rsidRDefault="0090060C"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Ефективність використання ресурсів (енергії та води) центром обробки даних (ЦОД) критично залежить від технологічного способу відведення тепла. Вибір архітектури охолодження визначає не лише показники PUE, а й обсяг антропогенного навантаження на міські мережі.</w:t>
      </w:r>
    </w:p>
    <w:p w14:paraId="2B08C509" w14:textId="05E9D753" w:rsidR="0090060C" w:rsidRPr="001F507E" w:rsidRDefault="0090060C"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 xml:space="preserve">1. Повітряне охолодження </w:t>
      </w:r>
    </w:p>
    <w:p w14:paraId="19D32B73" w14:textId="493F8997" w:rsidR="003F49E5" w:rsidRDefault="0090060C"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Традиційні системи повітряного охолодження базуються на циркуляції повітряних мас для зняття явного тепла з серверного обладнання.</w:t>
      </w:r>
    </w:p>
    <w:p w14:paraId="1978662A" w14:textId="77777777" w:rsidR="00107E42" w:rsidRDefault="0090060C"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lastRenderedPageBreak/>
        <w:t xml:space="preserve">Механіка: Тепло передається повітрю, яке потім охолоджується через випарні або фреонові чилери.Енергетичний слід: Повітря має низьку питому теплоємність </w:t>
      </w:r>
      <w:r w:rsidR="00FF4F96">
        <w:rPr>
          <w:rFonts w:ascii="Times New Roman" w:hAnsi="Times New Roman" w:cs="Times New Roman"/>
          <w:sz w:val="28"/>
          <w:szCs w:val="28"/>
          <w:lang w:eastAsia="uk-UA"/>
        </w:rPr>
        <w:t xml:space="preserve">приблизно </w:t>
      </w:r>
      <w:r w:rsidRPr="001F507E">
        <w:rPr>
          <w:rFonts w:ascii="Times New Roman" w:hAnsi="Times New Roman" w:cs="Times New Roman"/>
          <w:sz w:val="28"/>
          <w:szCs w:val="28"/>
          <w:lang w:eastAsia="uk-UA"/>
        </w:rPr>
        <w:t>1,006 кДж/кг·К, тому для відведення тепла потрібні величезні об’єми повітряних мас. Енергія, що витрачається лише на роботу вентиляторів, може становити до 10–15% від загального споживання ЦОД.</w:t>
      </w:r>
    </w:p>
    <w:p w14:paraId="0844D6F4" w14:textId="6D816E7B" w:rsidR="0090060C" w:rsidRPr="001F507E" w:rsidRDefault="0090060C" w:rsidP="00487B5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Ресурсний дефіцит: Ці системи характеризуються низькою ефективністю передачі тепла. За великих навантажень вони вимагають значних потужностей електромережі для підтримки стабільного температурного режиму, посилюючи навантаження на міські підстанції.</w:t>
      </w:r>
    </w:p>
    <w:p w14:paraId="44C8B9B4" w14:textId="33C9FD8E" w:rsidR="0090060C" w:rsidRPr="00F87E6A" w:rsidRDefault="0090060C" w:rsidP="00107E42">
      <w:pPr>
        <w:pStyle w:val="af"/>
        <w:spacing w:line="360" w:lineRule="auto"/>
        <w:ind w:firstLine="708"/>
        <w:jc w:val="both"/>
        <w:rPr>
          <w:rFonts w:ascii="Times New Roman" w:hAnsi="Times New Roman" w:cs="Times New Roman"/>
          <w:sz w:val="28"/>
          <w:szCs w:val="28"/>
          <w:lang w:val="ru-RU" w:eastAsia="uk-UA"/>
        </w:rPr>
      </w:pPr>
      <w:r w:rsidRPr="001F507E">
        <w:rPr>
          <w:rFonts w:ascii="Times New Roman" w:hAnsi="Times New Roman" w:cs="Times New Roman"/>
          <w:sz w:val="28"/>
          <w:szCs w:val="28"/>
          <w:lang w:eastAsia="uk-UA"/>
        </w:rPr>
        <w:t xml:space="preserve">2. Випарне охолодження </w:t>
      </w:r>
    </w:p>
    <w:p w14:paraId="4484A68E" w14:textId="04FEAAD1" w:rsidR="00C311BB" w:rsidRDefault="0090060C" w:rsidP="00107E4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Цей тип систем використовує латентну теплоту випаровування води для зниження температури повітря, що подається в серверні зали.</w:t>
      </w:r>
      <w:r w:rsidR="003F49E5">
        <w:rPr>
          <w:rFonts w:ascii="Times New Roman" w:hAnsi="Times New Roman" w:cs="Times New Roman"/>
          <w:sz w:val="28"/>
          <w:szCs w:val="28"/>
          <w:lang w:eastAsia="uk-UA"/>
        </w:rPr>
        <w:br/>
      </w:r>
      <w:r w:rsidRPr="001F507E">
        <w:rPr>
          <w:rFonts w:ascii="Times New Roman" w:hAnsi="Times New Roman" w:cs="Times New Roman"/>
          <w:sz w:val="28"/>
          <w:szCs w:val="28"/>
          <w:lang w:eastAsia="uk-UA"/>
        </w:rPr>
        <w:t>Механіка: Вода випаровується в градирнях, поглинаючи тепло з теплоносія.</w:t>
      </w:r>
      <w:r w:rsidR="003F49E5">
        <w:rPr>
          <w:rFonts w:ascii="Times New Roman" w:hAnsi="Times New Roman" w:cs="Times New Roman"/>
          <w:sz w:val="28"/>
          <w:szCs w:val="28"/>
          <w:lang w:eastAsia="uk-UA"/>
        </w:rPr>
        <w:br/>
      </w:r>
      <w:r w:rsidRPr="001F507E">
        <w:rPr>
          <w:rFonts w:ascii="Times New Roman" w:hAnsi="Times New Roman" w:cs="Times New Roman"/>
          <w:sz w:val="28"/>
          <w:szCs w:val="28"/>
          <w:lang w:eastAsia="uk-UA"/>
        </w:rPr>
        <w:t>Водний слід (WUE): Це найбільш водоємна технологія. Кожен 1 кВт·год електроенергії, витрачений сервером, потребує випаровування 2,0–3,0 літрів води. У масштабах гіперЦОД (100 МВт) це призводить до вилучення ~150–200 м³ води за годину в пікові періоди.</w:t>
      </w:r>
    </w:p>
    <w:p w14:paraId="763E5EB9" w14:textId="6D56BDB7" w:rsidR="0090060C" w:rsidRPr="001F507E" w:rsidRDefault="0090060C" w:rsidP="00107E4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Хімічний баланс: Через постійне випаровування в оборотному контурі накопичуються солі та мінерали. Щоб уникнути накипу та корозії, частину води скидають (процес </w:t>
      </w:r>
      <w:r w:rsidR="005E6DD3">
        <w:rPr>
          <w:rFonts w:ascii="Times New Roman" w:hAnsi="Times New Roman" w:cs="Times New Roman"/>
          <w:i/>
          <w:iCs/>
          <w:sz w:val="28"/>
          <w:szCs w:val="28"/>
          <w:lang w:val="en-US" w:eastAsia="uk-UA"/>
        </w:rPr>
        <w:t>blowdown</w:t>
      </w:r>
      <w:r w:rsidRPr="001F507E">
        <w:rPr>
          <w:rFonts w:ascii="Times New Roman" w:hAnsi="Times New Roman" w:cs="Times New Roman"/>
          <w:sz w:val="28"/>
          <w:szCs w:val="28"/>
          <w:lang w:eastAsia="uk-UA"/>
        </w:rPr>
        <w:t>, замінюючи її свіжою. Ця вода містить високу концентрацію хімічних реагентів (біоцидів, інгібіторів корозії) і стає джерелом токсичного навантаження на міську каналізацію.</w:t>
      </w:r>
    </w:p>
    <w:p w14:paraId="05B093DE" w14:textId="46D21D29" w:rsidR="0090060C" w:rsidRPr="00F87E6A" w:rsidRDefault="0090060C" w:rsidP="00107E4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 xml:space="preserve">3. Рідинне охолодження </w:t>
      </w:r>
    </w:p>
    <w:p w14:paraId="622562F2" w14:textId="09ACE03E" w:rsidR="0090060C" w:rsidRPr="001F507E" w:rsidRDefault="0090060C" w:rsidP="00107E4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Технологія передбачає використання рідини (води або діелектричної рідини) як теплоносія з безпосереднім контактом з нагрітими компонентами  або повним зануренням.</w:t>
      </w:r>
    </w:p>
    <w:p w14:paraId="4F51B9B3" w14:textId="281A4F8A" w:rsidR="0090060C" w:rsidRPr="001F507E" w:rsidRDefault="0090060C" w:rsidP="00107E4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 xml:space="preserve">Механіка: Питома теплоємність води </w:t>
      </w:r>
      <w:r w:rsidR="001F507E" w:rsidRPr="001F507E">
        <w:rPr>
          <w:rFonts w:ascii="Times New Roman" w:hAnsi="Times New Roman" w:cs="Times New Roman"/>
          <w:sz w:val="28"/>
          <w:szCs w:val="28"/>
          <w:lang w:eastAsia="uk-UA"/>
        </w:rPr>
        <w:t xml:space="preserve"> приблизно </w:t>
      </w:r>
      <w:r w:rsidRPr="001F507E">
        <w:rPr>
          <w:rFonts w:ascii="Times New Roman" w:hAnsi="Times New Roman" w:cs="Times New Roman"/>
          <w:sz w:val="28"/>
          <w:szCs w:val="28"/>
          <w:lang w:eastAsia="uk-UA"/>
        </w:rPr>
        <w:t>4,18 кДж/кг·К</w:t>
      </w:r>
      <w:r w:rsidR="001F507E" w:rsidRPr="001F507E">
        <w:rPr>
          <w:rFonts w:ascii="Times New Roman" w:hAnsi="Times New Roman" w:cs="Times New Roman"/>
          <w:sz w:val="28"/>
          <w:szCs w:val="28"/>
          <w:lang w:eastAsia="uk-UA"/>
        </w:rPr>
        <w:t xml:space="preserve"> </w:t>
      </w:r>
      <w:r w:rsidRPr="001F507E">
        <w:rPr>
          <w:rFonts w:ascii="Times New Roman" w:hAnsi="Times New Roman" w:cs="Times New Roman"/>
          <w:sz w:val="28"/>
          <w:szCs w:val="28"/>
          <w:lang w:eastAsia="uk-UA"/>
        </w:rPr>
        <w:t>у 4 рази вища за повітря, а теплопровідність — у 25 разів.</w:t>
      </w:r>
    </w:p>
    <w:p w14:paraId="1027BFA5" w14:textId="72A7676D" w:rsidR="0090060C" w:rsidRPr="001F507E" w:rsidRDefault="0090060C" w:rsidP="00107E42">
      <w:pPr>
        <w:pStyle w:val="af"/>
        <w:spacing w:line="360" w:lineRule="auto"/>
        <w:ind w:firstLine="708"/>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Енергетичний та водний баланс: Використання рідини дозволяє відводити тепло при вищих температурах теплоносія (до 50–60°C). Це дає можливість:</w:t>
      </w:r>
      <w:r w:rsidR="001F507E" w:rsidRPr="001F507E">
        <w:rPr>
          <w:rFonts w:ascii="Times New Roman" w:hAnsi="Times New Roman" w:cs="Times New Roman"/>
          <w:sz w:val="28"/>
          <w:szCs w:val="28"/>
          <w:lang w:eastAsia="uk-UA"/>
        </w:rPr>
        <w:br/>
      </w:r>
      <w:r w:rsidRPr="001F507E">
        <w:rPr>
          <w:rFonts w:ascii="Times New Roman" w:hAnsi="Times New Roman" w:cs="Times New Roman"/>
          <w:sz w:val="28"/>
          <w:szCs w:val="28"/>
          <w:lang w:eastAsia="uk-UA"/>
        </w:rPr>
        <w:lastRenderedPageBreak/>
        <w:t>Відмовитися від енергоємних чилерів.</w:t>
      </w:r>
      <w:r w:rsidR="00107E42">
        <w:rPr>
          <w:rFonts w:ascii="Times New Roman" w:hAnsi="Times New Roman" w:cs="Times New Roman"/>
          <w:sz w:val="28"/>
          <w:szCs w:val="28"/>
          <w:lang w:eastAsia="uk-UA"/>
        </w:rPr>
        <w:t xml:space="preserve"> </w:t>
      </w:r>
      <w:r w:rsidRPr="001F507E">
        <w:rPr>
          <w:rFonts w:ascii="Times New Roman" w:hAnsi="Times New Roman" w:cs="Times New Roman"/>
          <w:sz w:val="28"/>
          <w:szCs w:val="28"/>
          <w:lang w:eastAsia="uk-UA"/>
        </w:rPr>
        <w:t>Зменшити споживання води за рахунок замкнених контурів.</w:t>
      </w:r>
    </w:p>
    <w:p w14:paraId="5FEFD9DC" w14:textId="40BD509C" w:rsidR="0090060C" w:rsidRDefault="0090060C" w:rsidP="00487B52">
      <w:pPr>
        <w:pStyle w:val="af"/>
        <w:spacing w:line="360" w:lineRule="auto"/>
        <w:jc w:val="both"/>
        <w:rPr>
          <w:rFonts w:ascii="Times New Roman" w:hAnsi="Times New Roman" w:cs="Times New Roman"/>
          <w:sz w:val="28"/>
          <w:szCs w:val="28"/>
          <w:lang w:eastAsia="uk-UA"/>
        </w:rPr>
      </w:pPr>
      <w:r w:rsidRPr="001F507E">
        <w:rPr>
          <w:rFonts w:ascii="Times New Roman" w:hAnsi="Times New Roman" w:cs="Times New Roman"/>
          <w:sz w:val="28"/>
          <w:szCs w:val="28"/>
          <w:lang w:eastAsia="uk-UA"/>
        </w:rPr>
        <w:t>Потенціал для енергосимбіозу: Висока температура рідини (висока ексергія) дозволяє використовувати її для міських систем теплопостачання без додаткових теплових насосів або з мінімальною їх участ</w:t>
      </w:r>
      <w:r w:rsidRPr="0090060C">
        <w:rPr>
          <w:rFonts w:ascii="Times New Roman" w:hAnsi="Times New Roman" w:cs="Times New Roman"/>
          <w:sz w:val="28"/>
          <w:szCs w:val="28"/>
          <w:lang w:eastAsia="uk-UA"/>
        </w:rPr>
        <w:t>ю. Це перетворює ЦОД на джерело високоякісного вторинного тепла для міських потреб.</w:t>
      </w:r>
    </w:p>
    <w:p w14:paraId="39CA4B30" w14:textId="20B3341A" w:rsidR="00107E42" w:rsidRPr="0090060C" w:rsidRDefault="00107E42" w:rsidP="00107E42">
      <w:pPr>
        <w:pStyle w:val="af"/>
        <w:spacing w:line="360" w:lineRule="auto"/>
        <w:jc w:val="center"/>
        <w:rPr>
          <w:rFonts w:ascii="Times New Roman" w:hAnsi="Times New Roman" w:cs="Times New Roman"/>
          <w:sz w:val="28"/>
          <w:szCs w:val="28"/>
          <w:lang w:eastAsia="uk-UA"/>
        </w:rPr>
      </w:pPr>
      <w:r w:rsidRPr="00DA5DEE">
        <w:rPr>
          <w:rFonts w:ascii="Times New Roman" w:hAnsi="Times New Roman" w:cs="Times New Roman"/>
          <w:color w:val="000000" w:themeColor="text1"/>
          <w:sz w:val="28"/>
          <w:szCs w:val="28"/>
        </w:rPr>
        <w:t xml:space="preserve">Таблиця </w:t>
      </w:r>
      <w:r>
        <w:rPr>
          <w:rFonts w:ascii="Times New Roman" w:hAnsi="Times New Roman" w:cs="Times New Roman"/>
          <w:color w:val="000000" w:themeColor="text1"/>
          <w:sz w:val="28"/>
          <w:szCs w:val="28"/>
        </w:rPr>
        <w:t>2</w:t>
      </w:r>
      <w:r w:rsidRPr="00DA5DEE">
        <w:rPr>
          <w:rFonts w:ascii="Times New Roman" w:hAnsi="Times New Roman" w:cs="Times New Roman"/>
          <w:color w:val="000000" w:themeColor="text1"/>
          <w:sz w:val="28"/>
          <w:szCs w:val="28"/>
        </w:rPr>
        <w:t xml:space="preserve">.1. </w:t>
      </w:r>
      <w:r w:rsidRPr="00796939">
        <w:rPr>
          <w:rFonts w:ascii="Times New Roman" w:hAnsi="Times New Roman" w:cs="Times New Roman"/>
          <w:color w:val="000000" w:themeColor="text1"/>
          <w:sz w:val="28"/>
          <w:szCs w:val="28"/>
        </w:rPr>
        <w:t>Порівняльна матриця ресурсного навантаження</w:t>
      </w:r>
    </w:p>
    <w:tbl>
      <w:tblPr>
        <w:tblStyle w:val="af0"/>
        <w:tblW w:w="0" w:type="auto"/>
        <w:tblLook w:val="04A0" w:firstRow="1" w:lastRow="0" w:firstColumn="1" w:lastColumn="0" w:noHBand="0" w:noVBand="1"/>
      </w:tblPr>
      <w:tblGrid>
        <w:gridCol w:w="1576"/>
        <w:gridCol w:w="2499"/>
        <w:gridCol w:w="1803"/>
        <w:gridCol w:w="1772"/>
        <w:gridCol w:w="1979"/>
      </w:tblGrid>
      <w:tr w:rsidR="00867EB9" w14:paraId="2C82FA60" w14:textId="77777777" w:rsidTr="00867EB9">
        <w:tc>
          <w:tcPr>
            <w:tcW w:w="1925" w:type="dxa"/>
          </w:tcPr>
          <w:p w14:paraId="5EAA8E69" w14:textId="195710C0" w:rsidR="00867EB9" w:rsidRDefault="00867EB9" w:rsidP="00487B52">
            <w:pPr>
              <w:pStyle w:val="af"/>
              <w:spacing w:line="360" w:lineRule="auto"/>
              <w:jc w:val="both"/>
              <w:rPr>
                <w:rFonts w:ascii="Times New Roman" w:hAnsi="Times New Roman" w:cs="Times New Roman"/>
                <w:sz w:val="28"/>
                <w:szCs w:val="28"/>
                <w:lang w:eastAsia="uk-UA"/>
              </w:rPr>
            </w:pPr>
            <w:r w:rsidRPr="00867EB9">
              <w:rPr>
                <w:rFonts w:ascii="Times New Roman" w:hAnsi="Times New Roman" w:cs="Times New Roman"/>
                <w:sz w:val="28"/>
                <w:szCs w:val="28"/>
                <w:lang w:eastAsia="uk-UA"/>
              </w:rPr>
              <w:t>Тип системи</w:t>
            </w:r>
          </w:p>
        </w:tc>
        <w:tc>
          <w:tcPr>
            <w:tcW w:w="1926" w:type="dxa"/>
          </w:tcPr>
          <w:p w14:paraId="50262BA5" w14:textId="0D73ED53" w:rsidR="00867EB9" w:rsidRDefault="008F589E" w:rsidP="00487B52">
            <w:pPr>
              <w:pStyle w:val="af"/>
              <w:spacing w:line="360" w:lineRule="auto"/>
              <w:jc w:val="both"/>
              <w:rPr>
                <w:rFonts w:ascii="Times New Roman" w:hAnsi="Times New Roman" w:cs="Times New Roman"/>
                <w:sz w:val="28"/>
                <w:szCs w:val="28"/>
                <w:lang w:eastAsia="uk-UA"/>
              </w:rPr>
            </w:pPr>
            <w:r w:rsidRPr="008F589E">
              <w:rPr>
                <w:rFonts w:ascii="Times New Roman" w:hAnsi="Times New Roman" w:cs="Times New Roman"/>
                <w:sz w:val="28"/>
                <w:szCs w:val="28"/>
                <w:lang w:eastAsia="uk-UA"/>
              </w:rPr>
              <w:t>Енергоспоживання (інтенсивність)</w:t>
            </w:r>
          </w:p>
        </w:tc>
        <w:tc>
          <w:tcPr>
            <w:tcW w:w="1926" w:type="dxa"/>
          </w:tcPr>
          <w:p w14:paraId="636544D6" w14:textId="27D491C3" w:rsidR="00867EB9" w:rsidRDefault="00EB02B7" w:rsidP="00487B52">
            <w:pPr>
              <w:pStyle w:val="af"/>
              <w:spacing w:line="360" w:lineRule="auto"/>
              <w:jc w:val="both"/>
              <w:rPr>
                <w:rFonts w:ascii="Times New Roman" w:hAnsi="Times New Roman" w:cs="Times New Roman"/>
                <w:sz w:val="28"/>
                <w:szCs w:val="28"/>
                <w:lang w:eastAsia="uk-UA"/>
              </w:rPr>
            </w:pPr>
            <w:r w:rsidRPr="00EB02B7">
              <w:rPr>
                <w:rFonts w:ascii="Times New Roman" w:hAnsi="Times New Roman" w:cs="Times New Roman"/>
                <w:sz w:val="28"/>
                <w:szCs w:val="28"/>
                <w:lang w:eastAsia="uk-UA"/>
              </w:rPr>
              <w:t>Водний слід (WUE)</w:t>
            </w:r>
          </w:p>
        </w:tc>
        <w:tc>
          <w:tcPr>
            <w:tcW w:w="1926" w:type="dxa"/>
          </w:tcPr>
          <w:p w14:paraId="3F0EB529" w14:textId="3D9D6F59" w:rsidR="00867EB9" w:rsidRDefault="008F589E" w:rsidP="00487B52">
            <w:pPr>
              <w:pStyle w:val="af"/>
              <w:spacing w:line="360" w:lineRule="auto"/>
              <w:jc w:val="both"/>
              <w:rPr>
                <w:rFonts w:ascii="Times New Roman" w:hAnsi="Times New Roman" w:cs="Times New Roman"/>
                <w:sz w:val="28"/>
                <w:szCs w:val="28"/>
                <w:lang w:eastAsia="uk-UA"/>
              </w:rPr>
            </w:pPr>
            <w:r w:rsidRPr="008F589E">
              <w:rPr>
                <w:rFonts w:ascii="Times New Roman" w:hAnsi="Times New Roman" w:cs="Times New Roman"/>
                <w:sz w:val="28"/>
                <w:szCs w:val="28"/>
                <w:lang w:eastAsia="uk-UA"/>
              </w:rPr>
              <w:t>Температура вихідного тепла (ексергія)</w:t>
            </w:r>
          </w:p>
        </w:tc>
        <w:tc>
          <w:tcPr>
            <w:tcW w:w="1926" w:type="dxa"/>
          </w:tcPr>
          <w:p w14:paraId="3248C38E" w14:textId="4992B83B" w:rsidR="00867EB9" w:rsidRDefault="008F589E" w:rsidP="00487B52">
            <w:pPr>
              <w:pStyle w:val="af"/>
              <w:spacing w:line="360" w:lineRule="auto"/>
              <w:jc w:val="both"/>
              <w:rPr>
                <w:rFonts w:ascii="Times New Roman" w:hAnsi="Times New Roman" w:cs="Times New Roman"/>
                <w:sz w:val="28"/>
                <w:szCs w:val="28"/>
                <w:lang w:eastAsia="uk-UA"/>
              </w:rPr>
            </w:pPr>
            <w:r w:rsidRPr="008F589E">
              <w:rPr>
                <w:rFonts w:ascii="Times New Roman" w:hAnsi="Times New Roman" w:cs="Times New Roman"/>
                <w:sz w:val="28"/>
                <w:szCs w:val="28"/>
                <w:lang w:eastAsia="uk-UA"/>
              </w:rPr>
              <w:t>Вплив на міське середовище</w:t>
            </w:r>
          </w:p>
        </w:tc>
      </w:tr>
      <w:tr w:rsidR="00867EB9" w14:paraId="5B325EE8" w14:textId="77777777" w:rsidTr="00867EB9">
        <w:tc>
          <w:tcPr>
            <w:tcW w:w="1925" w:type="dxa"/>
          </w:tcPr>
          <w:p w14:paraId="37CBFBE8" w14:textId="7EDA189E" w:rsidR="00867EB9" w:rsidRDefault="00FD1E31" w:rsidP="00487B52">
            <w:pPr>
              <w:pStyle w:val="af"/>
              <w:spacing w:line="360" w:lineRule="auto"/>
              <w:jc w:val="both"/>
              <w:rPr>
                <w:rFonts w:ascii="Times New Roman" w:hAnsi="Times New Roman" w:cs="Times New Roman"/>
                <w:sz w:val="28"/>
                <w:szCs w:val="28"/>
                <w:lang w:eastAsia="uk-UA"/>
              </w:rPr>
            </w:pPr>
            <w:r w:rsidRPr="00FD1E31">
              <w:rPr>
                <w:rFonts w:ascii="Times New Roman" w:hAnsi="Times New Roman" w:cs="Times New Roman"/>
                <w:b/>
                <w:bCs/>
                <w:sz w:val="28"/>
                <w:szCs w:val="28"/>
                <w:lang w:eastAsia="uk-UA"/>
              </w:rPr>
              <w:t>Повітряне</w:t>
            </w:r>
          </w:p>
        </w:tc>
        <w:tc>
          <w:tcPr>
            <w:tcW w:w="1926" w:type="dxa"/>
          </w:tcPr>
          <w:p w14:paraId="278BD49D" w14:textId="6D440EED" w:rsidR="00867EB9" w:rsidRDefault="00EB02B7" w:rsidP="00487B52">
            <w:pPr>
              <w:pStyle w:val="af"/>
              <w:spacing w:line="360" w:lineRule="auto"/>
              <w:jc w:val="both"/>
              <w:rPr>
                <w:rFonts w:ascii="Times New Roman" w:hAnsi="Times New Roman" w:cs="Times New Roman"/>
                <w:sz w:val="28"/>
                <w:szCs w:val="28"/>
                <w:lang w:eastAsia="uk-UA"/>
              </w:rPr>
            </w:pPr>
            <w:r w:rsidRPr="00EB02B7">
              <w:rPr>
                <w:rFonts w:ascii="Times New Roman" w:hAnsi="Times New Roman" w:cs="Times New Roman"/>
                <w:sz w:val="28"/>
                <w:szCs w:val="28"/>
                <w:lang w:eastAsia="uk-UA"/>
              </w:rPr>
              <w:t>Високе</w:t>
            </w:r>
          </w:p>
        </w:tc>
        <w:tc>
          <w:tcPr>
            <w:tcW w:w="1926" w:type="dxa"/>
          </w:tcPr>
          <w:p w14:paraId="3A686300" w14:textId="286B7F47" w:rsidR="00867EB9" w:rsidRDefault="000547F7" w:rsidP="00487B52">
            <w:pPr>
              <w:pStyle w:val="af"/>
              <w:spacing w:line="360" w:lineRule="auto"/>
              <w:jc w:val="both"/>
              <w:rPr>
                <w:rFonts w:ascii="Times New Roman" w:hAnsi="Times New Roman" w:cs="Times New Roman"/>
                <w:sz w:val="28"/>
                <w:szCs w:val="28"/>
                <w:lang w:eastAsia="uk-UA"/>
              </w:rPr>
            </w:pPr>
            <w:r w:rsidRPr="000547F7">
              <w:rPr>
                <w:rFonts w:ascii="Times New Roman" w:hAnsi="Times New Roman" w:cs="Times New Roman"/>
                <w:sz w:val="28"/>
                <w:szCs w:val="28"/>
                <w:lang w:eastAsia="uk-UA"/>
              </w:rPr>
              <w:t>Низький</w:t>
            </w:r>
          </w:p>
        </w:tc>
        <w:tc>
          <w:tcPr>
            <w:tcW w:w="1926" w:type="dxa"/>
          </w:tcPr>
          <w:p w14:paraId="51AADA47" w14:textId="26CC2938" w:rsidR="00867EB9" w:rsidRDefault="000547F7" w:rsidP="00487B52">
            <w:pPr>
              <w:pStyle w:val="af"/>
              <w:spacing w:line="360" w:lineRule="auto"/>
              <w:jc w:val="both"/>
              <w:rPr>
                <w:rFonts w:ascii="Times New Roman" w:hAnsi="Times New Roman" w:cs="Times New Roman"/>
                <w:sz w:val="28"/>
                <w:szCs w:val="28"/>
                <w:lang w:eastAsia="uk-UA"/>
              </w:rPr>
            </w:pPr>
            <w:r w:rsidRPr="000547F7">
              <w:rPr>
                <w:rFonts w:ascii="Times New Roman" w:hAnsi="Times New Roman" w:cs="Times New Roman"/>
                <w:sz w:val="28"/>
                <w:szCs w:val="28"/>
                <w:lang w:eastAsia="uk-UA"/>
              </w:rPr>
              <w:t>Низька (25–35°C)</w:t>
            </w:r>
          </w:p>
        </w:tc>
        <w:tc>
          <w:tcPr>
            <w:tcW w:w="1926" w:type="dxa"/>
          </w:tcPr>
          <w:p w14:paraId="2284C97C" w14:textId="6A0EEC0B" w:rsidR="00867EB9" w:rsidRDefault="008F589E" w:rsidP="00487B52">
            <w:pPr>
              <w:pStyle w:val="af"/>
              <w:spacing w:line="360" w:lineRule="auto"/>
              <w:jc w:val="both"/>
              <w:rPr>
                <w:rFonts w:ascii="Times New Roman" w:hAnsi="Times New Roman" w:cs="Times New Roman"/>
                <w:sz w:val="28"/>
                <w:szCs w:val="28"/>
                <w:lang w:eastAsia="uk-UA"/>
              </w:rPr>
            </w:pPr>
            <w:r w:rsidRPr="008F589E">
              <w:rPr>
                <w:rFonts w:ascii="Times New Roman" w:hAnsi="Times New Roman" w:cs="Times New Roman"/>
                <w:sz w:val="28"/>
                <w:szCs w:val="28"/>
                <w:lang w:eastAsia="uk-UA"/>
              </w:rPr>
              <w:t>Теплове забруднення повітря</w:t>
            </w:r>
          </w:p>
        </w:tc>
      </w:tr>
      <w:tr w:rsidR="00867EB9" w14:paraId="0C259E2B" w14:textId="77777777" w:rsidTr="00867EB9">
        <w:tc>
          <w:tcPr>
            <w:tcW w:w="1925" w:type="dxa"/>
          </w:tcPr>
          <w:p w14:paraId="366FC159" w14:textId="043AD800" w:rsidR="00867EB9" w:rsidRDefault="00FD1E31" w:rsidP="00487B52">
            <w:pPr>
              <w:pStyle w:val="af"/>
              <w:spacing w:line="360" w:lineRule="auto"/>
              <w:jc w:val="both"/>
              <w:rPr>
                <w:rFonts w:ascii="Times New Roman" w:hAnsi="Times New Roman" w:cs="Times New Roman"/>
                <w:sz w:val="28"/>
                <w:szCs w:val="28"/>
                <w:lang w:eastAsia="uk-UA"/>
              </w:rPr>
            </w:pPr>
            <w:r w:rsidRPr="00FD1E31">
              <w:rPr>
                <w:rFonts w:ascii="Times New Roman" w:hAnsi="Times New Roman" w:cs="Times New Roman"/>
                <w:b/>
                <w:bCs/>
                <w:sz w:val="28"/>
                <w:szCs w:val="28"/>
                <w:lang w:eastAsia="uk-UA"/>
              </w:rPr>
              <w:t>Випарне</w:t>
            </w:r>
          </w:p>
        </w:tc>
        <w:tc>
          <w:tcPr>
            <w:tcW w:w="1926" w:type="dxa"/>
          </w:tcPr>
          <w:p w14:paraId="78594FB7" w14:textId="0401BC44" w:rsidR="00867EB9" w:rsidRDefault="00EB02B7" w:rsidP="00487B52">
            <w:pPr>
              <w:pStyle w:val="af"/>
              <w:spacing w:line="360" w:lineRule="auto"/>
              <w:jc w:val="both"/>
              <w:rPr>
                <w:rFonts w:ascii="Times New Roman" w:hAnsi="Times New Roman" w:cs="Times New Roman"/>
                <w:sz w:val="28"/>
                <w:szCs w:val="28"/>
                <w:lang w:eastAsia="uk-UA"/>
              </w:rPr>
            </w:pPr>
            <w:r w:rsidRPr="00EB02B7">
              <w:rPr>
                <w:rFonts w:ascii="Times New Roman" w:hAnsi="Times New Roman" w:cs="Times New Roman"/>
                <w:sz w:val="28"/>
                <w:szCs w:val="28"/>
                <w:lang w:eastAsia="uk-UA"/>
              </w:rPr>
              <w:t>Середнє</w:t>
            </w:r>
          </w:p>
        </w:tc>
        <w:tc>
          <w:tcPr>
            <w:tcW w:w="1926" w:type="dxa"/>
          </w:tcPr>
          <w:p w14:paraId="15541E43" w14:textId="179A43A9" w:rsidR="00867EB9" w:rsidRDefault="000547F7" w:rsidP="00487B52">
            <w:pPr>
              <w:pStyle w:val="af"/>
              <w:spacing w:line="360" w:lineRule="auto"/>
              <w:jc w:val="both"/>
              <w:rPr>
                <w:rFonts w:ascii="Times New Roman" w:hAnsi="Times New Roman" w:cs="Times New Roman"/>
                <w:sz w:val="28"/>
                <w:szCs w:val="28"/>
                <w:lang w:eastAsia="uk-UA"/>
              </w:rPr>
            </w:pPr>
            <w:r w:rsidRPr="000547F7">
              <w:rPr>
                <w:rFonts w:ascii="Times New Roman" w:hAnsi="Times New Roman" w:cs="Times New Roman"/>
                <w:sz w:val="28"/>
                <w:szCs w:val="28"/>
                <w:lang w:eastAsia="uk-UA"/>
              </w:rPr>
              <w:t>Дуже високий</w:t>
            </w:r>
          </w:p>
        </w:tc>
        <w:tc>
          <w:tcPr>
            <w:tcW w:w="1926" w:type="dxa"/>
          </w:tcPr>
          <w:p w14:paraId="5719B0B4" w14:textId="5C03030E" w:rsidR="00867EB9" w:rsidRDefault="00E53341" w:rsidP="00487B52">
            <w:pPr>
              <w:pStyle w:val="af"/>
              <w:spacing w:line="360" w:lineRule="auto"/>
              <w:jc w:val="both"/>
              <w:rPr>
                <w:rFonts w:ascii="Times New Roman" w:hAnsi="Times New Roman" w:cs="Times New Roman"/>
                <w:sz w:val="28"/>
                <w:szCs w:val="28"/>
                <w:lang w:eastAsia="uk-UA"/>
              </w:rPr>
            </w:pPr>
            <w:r w:rsidRPr="00E53341">
              <w:rPr>
                <w:rFonts w:ascii="Times New Roman" w:hAnsi="Times New Roman" w:cs="Times New Roman"/>
                <w:sz w:val="28"/>
                <w:szCs w:val="28"/>
                <w:lang w:eastAsia="uk-UA"/>
              </w:rPr>
              <w:t>Середня (30–40°C)</w:t>
            </w:r>
          </w:p>
        </w:tc>
        <w:tc>
          <w:tcPr>
            <w:tcW w:w="1926" w:type="dxa"/>
          </w:tcPr>
          <w:p w14:paraId="0F9CC45B" w14:textId="588EB2D4" w:rsidR="00867EB9" w:rsidRDefault="00720683" w:rsidP="00487B52">
            <w:pPr>
              <w:pStyle w:val="af"/>
              <w:spacing w:line="360" w:lineRule="auto"/>
              <w:jc w:val="both"/>
              <w:rPr>
                <w:rFonts w:ascii="Times New Roman" w:hAnsi="Times New Roman" w:cs="Times New Roman"/>
                <w:sz w:val="28"/>
                <w:szCs w:val="28"/>
                <w:lang w:eastAsia="uk-UA"/>
              </w:rPr>
            </w:pPr>
            <w:r w:rsidRPr="00720683">
              <w:rPr>
                <w:rFonts w:ascii="Times New Roman" w:hAnsi="Times New Roman" w:cs="Times New Roman"/>
                <w:sz w:val="28"/>
                <w:szCs w:val="28"/>
                <w:lang w:eastAsia="uk-UA"/>
              </w:rPr>
              <w:t>Виснаження води, хім. забруднення</w:t>
            </w:r>
          </w:p>
        </w:tc>
      </w:tr>
      <w:tr w:rsidR="00867EB9" w14:paraId="55035BDF" w14:textId="77777777" w:rsidTr="00867EB9">
        <w:tc>
          <w:tcPr>
            <w:tcW w:w="1925" w:type="dxa"/>
          </w:tcPr>
          <w:p w14:paraId="1A319990" w14:textId="0CA91B80" w:rsidR="00867EB9" w:rsidRDefault="00FD1E31" w:rsidP="00487B52">
            <w:pPr>
              <w:pStyle w:val="af"/>
              <w:spacing w:line="360" w:lineRule="auto"/>
              <w:jc w:val="both"/>
              <w:rPr>
                <w:rFonts w:ascii="Times New Roman" w:hAnsi="Times New Roman" w:cs="Times New Roman"/>
                <w:sz w:val="28"/>
                <w:szCs w:val="28"/>
                <w:lang w:eastAsia="uk-UA"/>
              </w:rPr>
            </w:pPr>
            <w:r w:rsidRPr="00FD1E31">
              <w:rPr>
                <w:rFonts w:ascii="Times New Roman" w:hAnsi="Times New Roman" w:cs="Times New Roman"/>
                <w:b/>
                <w:bCs/>
                <w:sz w:val="28"/>
                <w:szCs w:val="28"/>
                <w:lang w:eastAsia="uk-UA"/>
              </w:rPr>
              <w:t>Рідкісне</w:t>
            </w:r>
          </w:p>
        </w:tc>
        <w:tc>
          <w:tcPr>
            <w:tcW w:w="1926" w:type="dxa"/>
          </w:tcPr>
          <w:p w14:paraId="7BDCD6CA" w14:textId="10749E86" w:rsidR="00867EB9" w:rsidRDefault="00EB02B7" w:rsidP="00487B52">
            <w:pPr>
              <w:pStyle w:val="af"/>
              <w:spacing w:line="360" w:lineRule="auto"/>
              <w:jc w:val="both"/>
              <w:rPr>
                <w:rFonts w:ascii="Times New Roman" w:hAnsi="Times New Roman" w:cs="Times New Roman"/>
                <w:sz w:val="28"/>
                <w:szCs w:val="28"/>
                <w:lang w:eastAsia="uk-UA"/>
              </w:rPr>
            </w:pPr>
            <w:r w:rsidRPr="00EB02B7">
              <w:rPr>
                <w:rFonts w:ascii="Times New Roman" w:hAnsi="Times New Roman" w:cs="Times New Roman"/>
                <w:sz w:val="28"/>
                <w:szCs w:val="28"/>
                <w:lang w:eastAsia="uk-UA"/>
              </w:rPr>
              <w:t>Низьке</w:t>
            </w:r>
          </w:p>
        </w:tc>
        <w:tc>
          <w:tcPr>
            <w:tcW w:w="1926" w:type="dxa"/>
          </w:tcPr>
          <w:p w14:paraId="62290D66" w14:textId="0CF8932E" w:rsidR="00867EB9" w:rsidRDefault="000547F7" w:rsidP="00487B52">
            <w:pPr>
              <w:pStyle w:val="af"/>
              <w:spacing w:line="360" w:lineRule="auto"/>
              <w:jc w:val="both"/>
              <w:rPr>
                <w:rFonts w:ascii="Times New Roman" w:hAnsi="Times New Roman" w:cs="Times New Roman"/>
                <w:sz w:val="28"/>
                <w:szCs w:val="28"/>
                <w:lang w:eastAsia="uk-UA"/>
              </w:rPr>
            </w:pPr>
            <w:r w:rsidRPr="000547F7">
              <w:rPr>
                <w:rFonts w:ascii="Times New Roman" w:hAnsi="Times New Roman" w:cs="Times New Roman"/>
                <w:sz w:val="28"/>
                <w:szCs w:val="28"/>
                <w:lang w:eastAsia="uk-UA"/>
              </w:rPr>
              <w:t>Мінімальний</w:t>
            </w:r>
          </w:p>
        </w:tc>
        <w:tc>
          <w:tcPr>
            <w:tcW w:w="1926" w:type="dxa"/>
          </w:tcPr>
          <w:p w14:paraId="5BF3F25F" w14:textId="41DD5A5B" w:rsidR="00867EB9" w:rsidRDefault="00E53341" w:rsidP="00487B52">
            <w:pPr>
              <w:pStyle w:val="af"/>
              <w:spacing w:line="360" w:lineRule="auto"/>
              <w:jc w:val="both"/>
              <w:rPr>
                <w:rFonts w:ascii="Times New Roman" w:hAnsi="Times New Roman" w:cs="Times New Roman"/>
                <w:sz w:val="28"/>
                <w:szCs w:val="28"/>
                <w:lang w:eastAsia="uk-UA"/>
              </w:rPr>
            </w:pPr>
            <w:r w:rsidRPr="00E53341">
              <w:rPr>
                <w:rFonts w:ascii="Times New Roman" w:hAnsi="Times New Roman" w:cs="Times New Roman"/>
                <w:sz w:val="28"/>
                <w:szCs w:val="28"/>
                <w:lang w:eastAsia="uk-UA"/>
              </w:rPr>
              <w:t>Висока (45–60°C+)</w:t>
            </w:r>
          </w:p>
        </w:tc>
        <w:tc>
          <w:tcPr>
            <w:tcW w:w="1926" w:type="dxa"/>
          </w:tcPr>
          <w:p w14:paraId="38A60B11" w14:textId="2E266AA1" w:rsidR="00867EB9" w:rsidRDefault="00720683" w:rsidP="00487B52">
            <w:pPr>
              <w:pStyle w:val="af"/>
              <w:spacing w:line="360" w:lineRule="auto"/>
              <w:jc w:val="both"/>
              <w:rPr>
                <w:rFonts w:ascii="Times New Roman" w:hAnsi="Times New Roman" w:cs="Times New Roman"/>
                <w:sz w:val="28"/>
                <w:szCs w:val="28"/>
                <w:lang w:eastAsia="uk-UA"/>
              </w:rPr>
            </w:pPr>
            <w:r w:rsidRPr="00720683">
              <w:rPr>
                <w:rFonts w:ascii="Times New Roman" w:hAnsi="Times New Roman" w:cs="Times New Roman"/>
                <w:sz w:val="28"/>
                <w:szCs w:val="28"/>
                <w:lang w:eastAsia="uk-UA"/>
              </w:rPr>
              <w:t>Енергосимбіоз (рекуперація)</w:t>
            </w:r>
          </w:p>
        </w:tc>
      </w:tr>
    </w:tbl>
    <w:p w14:paraId="6B52383D" w14:textId="77777777" w:rsidR="00107E42" w:rsidRDefault="00107E42" w:rsidP="00107E42">
      <w:pPr>
        <w:pStyle w:val="af"/>
        <w:spacing w:line="360" w:lineRule="auto"/>
        <w:ind w:firstLine="708"/>
        <w:jc w:val="both"/>
        <w:rPr>
          <w:rFonts w:ascii="Times New Roman" w:hAnsi="Times New Roman" w:cs="Times New Roman"/>
          <w:sz w:val="28"/>
          <w:szCs w:val="28"/>
          <w:lang w:eastAsia="uk-UA"/>
        </w:rPr>
      </w:pPr>
    </w:p>
    <w:p w14:paraId="6742C66C" w14:textId="77777777" w:rsidR="00107E42" w:rsidRDefault="002B7040" w:rsidP="00107E42">
      <w:pPr>
        <w:pStyle w:val="af"/>
        <w:spacing w:line="360" w:lineRule="auto"/>
        <w:ind w:firstLine="708"/>
        <w:jc w:val="both"/>
        <w:rPr>
          <w:rFonts w:ascii="Times New Roman" w:hAnsi="Times New Roman" w:cs="Times New Roman"/>
          <w:sz w:val="28"/>
          <w:szCs w:val="28"/>
          <w:lang w:eastAsia="uk-UA"/>
        </w:rPr>
      </w:pPr>
      <w:r w:rsidRPr="002B7040">
        <w:rPr>
          <w:rFonts w:ascii="Times New Roman" w:hAnsi="Times New Roman" w:cs="Times New Roman"/>
          <w:sz w:val="28"/>
          <w:szCs w:val="28"/>
          <w:lang w:eastAsia="uk-UA"/>
        </w:rPr>
        <w:t>Геоекологічний ризик залежить не лише від потужності ЦОД, а від обраної технології охолодження. Використання випарних веж у регіонах з обмеженими водними ресурсами (як-от Київська агломерація в періоди літньої посухи) створює пряму загрозу гідрологічній стабільності. Перехід до рідинного охолодження є не просто технічним покращенням, а інструментом стратегічного планування для мінімізації ресурсної конкуренції між цифровою інфраструктурою та містом.</w:t>
      </w:r>
    </w:p>
    <w:p w14:paraId="249ABB4F" w14:textId="604F8F8C" w:rsidR="00BB282D" w:rsidRPr="00BB282D"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 xml:space="preserve">Сучасні гіпермасштабні центри обробки даних (ЦОД) функціонують як «енергетичні чорні діри» — об’єкти з перманентним, некерованим та експоненційно зростаючим попитом на енергію, що здатні дестабілізувати </w:t>
      </w:r>
      <w:r w:rsidRPr="00BB282D">
        <w:rPr>
          <w:rFonts w:ascii="Times New Roman" w:hAnsi="Times New Roman" w:cs="Times New Roman"/>
          <w:sz w:val="28"/>
          <w:szCs w:val="28"/>
          <w:lang w:eastAsia="uk-UA"/>
        </w:rPr>
        <w:lastRenderedPageBreak/>
        <w:t>регіональні енергосистеми. Згідно зі звітами Міжнародного енергетичного агентства (IEA), глобальне споживання електроенергії дата-центрами у 2024–2025 роках перевищило 460 ТВт·год, що становить близько 2% світового енергетичного балансу. За консервативними прогнозами, до 2030 року цей показник подвоїться, сягнувши 1000 ТВт·год, що за обсягом енергоспоживання перевищує річні потреби таких країн, як Німеччина.</w:t>
      </w:r>
    </w:p>
    <w:p w14:paraId="5F1087B6" w14:textId="77777777" w:rsidR="00BB282D" w:rsidRPr="00BB282D"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Системна криза, яку спричиняють ЦОД, базується на таких параметрах:</w:t>
      </w:r>
    </w:p>
    <w:p w14:paraId="4AF6A6A6" w14:textId="77777777" w:rsidR="00107E42"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Природа навантаження: На відміну від житлового сектору з циклічним попитом (добові та сезонні піки), ЦОД створюють безперервне навантаження 24/7. Для енергосистеми це означає постійну потребу у підтримці високих резервних потужностей. У регіонах з високою концентрацією ЦОД це призводить до вичерпання резервів трансформаторних підстанцій та зниження пропускної здатності розподільчих мереж.</w:t>
      </w:r>
    </w:p>
    <w:p w14:paraId="0C1688D2" w14:textId="61927746" w:rsidR="00BB282D" w:rsidRPr="00BB282D"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Асинхронність розвитку: Цикл модернізації ІТ-інфраструктури (3–5 років) значно швидший за цикл модернізації міської енергомережі (10–15 років). Це створює «енергетичний розрив»: місто не встигає адаптувати кабельні лінії та підстанції до експоненційного зростання попиту ЦОД, що змушує муніципалітети блокувати нові підключення або фінансувати дорогу модернізацію за рахунок підвищення тарифів для населення.</w:t>
      </w:r>
      <w:r>
        <w:rPr>
          <w:rFonts w:ascii="Times New Roman" w:hAnsi="Times New Roman" w:cs="Times New Roman"/>
          <w:sz w:val="28"/>
          <w:szCs w:val="28"/>
          <w:lang w:eastAsia="uk-UA"/>
        </w:rPr>
        <w:br/>
      </w:r>
      <w:r w:rsidRPr="00BB282D">
        <w:rPr>
          <w:rFonts w:ascii="Times New Roman" w:hAnsi="Times New Roman" w:cs="Times New Roman"/>
          <w:sz w:val="28"/>
          <w:szCs w:val="28"/>
          <w:lang w:eastAsia="uk-UA"/>
        </w:rPr>
        <w:t>Енергетичний протекціонізм: Корпоративні угоди (SLA), що вимагають «п’ять дев’яток» доступності (99,999% аптайму), де-факто надають ЦОД статус «привілейованих споживачів». У моменти енергетичного дефіциту (наприклад, під час екстремальної спеки) енергосистеми вимушені підтримувати роботу серверів, витісняючи у зону «енергетичної блокади» соціальну інфраструктуру — лікарні, транспортні вузли та житловий сектор.</w:t>
      </w:r>
    </w:p>
    <w:p w14:paraId="1FB3A342" w14:textId="73640F8F" w:rsidR="00BB282D" w:rsidRPr="00BB282D"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Водне «голодування» міст: Гідрологічний стрес та конкуренція ресурсів</w:t>
      </w:r>
      <w:r w:rsidR="00107E42">
        <w:rPr>
          <w:rFonts w:ascii="Times New Roman" w:hAnsi="Times New Roman" w:cs="Times New Roman"/>
          <w:sz w:val="28"/>
          <w:szCs w:val="28"/>
          <w:lang w:eastAsia="uk-UA"/>
        </w:rPr>
        <w:t>.</w:t>
      </w:r>
    </w:p>
    <w:p w14:paraId="498ADF63" w14:textId="69DDEC9E" w:rsidR="00BB282D" w:rsidRPr="00BB282D" w:rsidRDefault="00BB282D" w:rsidP="00107E42">
      <w:pPr>
        <w:pStyle w:val="af"/>
        <w:spacing w:line="360" w:lineRule="auto"/>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Перехід від енергоємних систем механічного охолодження до випарних став спробою операторів ЦОД знизити показник PUE, проте це спричинило перенесення навантаження на гідрологічну систему. Водне «голодування» міст стає критичним геоекологічним наслідком цифрової трансформації.</w:t>
      </w:r>
    </w:p>
    <w:p w14:paraId="76833044" w14:textId="77777777" w:rsidR="00107E42" w:rsidRDefault="00BB282D" w:rsidP="00107E42">
      <w:pPr>
        <w:pStyle w:val="af"/>
        <w:spacing w:line="360" w:lineRule="auto"/>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lastRenderedPageBreak/>
        <w:t>Ключові фактори гідрологічного стресу:</w:t>
      </w:r>
    </w:p>
    <w:p w14:paraId="0E18EA65" w14:textId="77777777" w:rsidR="00107E42"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Інтенсивність споживання WUE: Середньогалузевий показник WUE становить 2,0–3,0 л/кВт·год. Гіпермасштабний дата-центр потужністю 100 МВт потребує до 7,2 млн літрів води на добу, що дорівнює потребам міста з населенням у 35 000 осіб. У періоди посухи, коли водні ресурси обмежені, це вилучення стає критичним фактором дефіциту.</w:t>
      </w:r>
    </w:p>
    <w:p w14:paraId="4CD3DE19" w14:textId="77777777" w:rsidR="00107E42"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Формування «депресійних лійок»: Масове вилучення води з підземних горизонтів формує глибокі зони зниження тиску в пластах. Зниження рівня ґрунтових вод на 1–2 метри призводить до падіння дебіту річок на 15–20% у посушливий період, що спричиняє пересихання водно-болотних угідь та деградацію прибережних лісових екосистем.</w:t>
      </w:r>
    </w:p>
    <w:p w14:paraId="01DFC125" w14:textId="20FE0A0A" w:rsidR="00BB282D" w:rsidRPr="00BB282D" w:rsidRDefault="00BB282D" w:rsidP="00107E42">
      <w:pPr>
        <w:pStyle w:val="af"/>
        <w:spacing w:line="360" w:lineRule="auto"/>
        <w:ind w:firstLine="708"/>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Хімічне та термічне навантаження: Повернення використаної води у міську каналізацію або водойми несе «подвійний удар»:</w:t>
      </w:r>
    </w:p>
    <w:p w14:paraId="56A7DD8E" w14:textId="77777777" w:rsidR="00107E42" w:rsidRDefault="00BB282D" w:rsidP="00107E42">
      <w:pPr>
        <w:pStyle w:val="af"/>
        <w:spacing w:line="360" w:lineRule="auto"/>
        <w:ind w:firstLine="709"/>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Термічний: Вода на виході тепліша на 5–10°C, що призводить до гіпоксії у водоймах (зниження кисню) та загибелі чутливої біоти.</w:t>
      </w:r>
    </w:p>
    <w:p w14:paraId="508068EA" w14:textId="49622EBD" w:rsidR="00BB282D" w:rsidRPr="00BB282D" w:rsidRDefault="00BB282D" w:rsidP="00107E42">
      <w:pPr>
        <w:pStyle w:val="af"/>
        <w:spacing w:line="360" w:lineRule="auto"/>
        <w:ind w:firstLine="709"/>
        <w:jc w:val="both"/>
        <w:rPr>
          <w:rFonts w:ascii="Times New Roman" w:hAnsi="Times New Roman" w:cs="Times New Roman"/>
          <w:sz w:val="28"/>
          <w:szCs w:val="28"/>
          <w:lang w:eastAsia="uk-UA"/>
        </w:rPr>
      </w:pPr>
      <w:r w:rsidRPr="00BB282D">
        <w:rPr>
          <w:rFonts w:ascii="Times New Roman" w:hAnsi="Times New Roman" w:cs="Times New Roman"/>
          <w:sz w:val="28"/>
          <w:szCs w:val="28"/>
          <w:lang w:eastAsia="uk-UA"/>
        </w:rPr>
        <w:t>Хімічний: Концентрація біоцидів, інгібіторів корозії та антинакипних реагентів у скидній воді створює хронічний токсикологічний ризик для міської гідросфери.</w:t>
      </w:r>
    </w:p>
    <w:p w14:paraId="6B5867BD" w14:textId="537BE0A2" w:rsidR="00C23227" w:rsidRDefault="00BB282D" w:rsidP="00BB282D">
      <w:pPr>
        <w:pStyle w:val="af"/>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ab/>
      </w:r>
      <w:r w:rsidR="00C23227">
        <w:rPr>
          <w:rFonts w:ascii="Times New Roman" w:hAnsi="Times New Roman" w:cs="Times New Roman"/>
          <w:sz w:val="28"/>
          <w:szCs w:val="28"/>
          <w:lang w:eastAsia="uk-UA"/>
        </w:rPr>
        <w:br w:type="page"/>
      </w:r>
    </w:p>
    <w:p w14:paraId="5480BAAF" w14:textId="77777777" w:rsidR="005737C8" w:rsidRDefault="00C23227" w:rsidP="0050430F">
      <w:pPr>
        <w:pStyle w:val="af"/>
        <w:spacing w:line="360" w:lineRule="auto"/>
        <w:rPr>
          <w:rFonts w:ascii="Times New Roman" w:hAnsi="Times New Roman" w:cs="Times New Roman"/>
          <w:b/>
          <w:bCs/>
          <w:caps/>
          <w:sz w:val="28"/>
          <w:szCs w:val="28"/>
        </w:rPr>
      </w:pPr>
      <w:r>
        <w:rPr>
          <w:rFonts w:ascii="Times New Roman" w:hAnsi="Times New Roman" w:cs="Times New Roman"/>
          <w:b/>
          <w:bCs/>
          <w:caps/>
          <w:sz w:val="28"/>
          <w:szCs w:val="28"/>
        </w:rPr>
        <w:lastRenderedPageBreak/>
        <w:t xml:space="preserve"> </w:t>
      </w:r>
      <w:r>
        <w:rPr>
          <w:rFonts w:ascii="Times New Roman" w:hAnsi="Times New Roman" w:cs="Times New Roman"/>
          <w:b/>
          <w:bCs/>
          <w:caps/>
          <w:sz w:val="28"/>
          <w:szCs w:val="28"/>
        </w:rPr>
        <w:tab/>
      </w:r>
      <w:r w:rsidRPr="005606B6">
        <w:rPr>
          <w:rFonts w:ascii="Times New Roman" w:hAnsi="Times New Roman" w:cs="Times New Roman"/>
          <w:b/>
          <w:bCs/>
          <w:caps/>
          <w:sz w:val="28"/>
          <w:szCs w:val="28"/>
        </w:rPr>
        <w:t xml:space="preserve">РОЗДІЛ 3. </w:t>
      </w:r>
      <w:r w:rsidRPr="00DA4335">
        <w:rPr>
          <w:rFonts w:ascii="Times New Roman" w:hAnsi="Times New Roman" w:cs="Times New Roman"/>
          <w:b/>
          <w:bCs/>
          <w:caps/>
          <w:sz w:val="28"/>
          <w:szCs w:val="28"/>
        </w:rPr>
        <w:t xml:space="preserve"> Геоінформаційний аналіз просторового </w:t>
      </w:r>
      <w:r>
        <w:rPr>
          <w:rFonts w:ascii="Times New Roman" w:hAnsi="Times New Roman" w:cs="Times New Roman"/>
          <w:b/>
          <w:bCs/>
          <w:caps/>
          <w:sz w:val="28"/>
          <w:szCs w:val="28"/>
        </w:rPr>
        <w:t xml:space="preserve"> </w:t>
      </w:r>
      <w:r w:rsidR="00F60F81">
        <w:rPr>
          <w:rFonts w:ascii="Times New Roman" w:hAnsi="Times New Roman" w:cs="Times New Roman"/>
          <w:b/>
          <w:bCs/>
          <w:caps/>
          <w:sz w:val="28"/>
          <w:szCs w:val="28"/>
        </w:rPr>
        <w:t xml:space="preserve"> </w:t>
      </w:r>
      <w:r w:rsidRPr="00DA4335">
        <w:rPr>
          <w:rFonts w:ascii="Times New Roman" w:hAnsi="Times New Roman" w:cs="Times New Roman"/>
          <w:b/>
          <w:bCs/>
          <w:caps/>
          <w:sz w:val="28"/>
          <w:szCs w:val="28"/>
        </w:rPr>
        <w:t>розміщення ЦОД у м. Києві</w:t>
      </w:r>
    </w:p>
    <w:p w14:paraId="221A4BF5" w14:textId="77777777" w:rsidR="00107E42" w:rsidRDefault="00C23227" w:rsidP="00107E42">
      <w:pPr>
        <w:pStyle w:val="af"/>
        <w:spacing w:line="360" w:lineRule="auto"/>
        <w:jc w:val="both"/>
        <w:rPr>
          <w:rFonts w:ascii="Times New Roman" w:hAnsi="Times New Roman" w:cs="Times New Roman"/>
          <w:sz w:val="28"/>
          <w:szCs w:val="28"/>
        </w:rPr>
      </w:pPr>
      <w:r>
        <w:rPr>
          <w:rFonts w:ascii="Times New Roman" w:hAnsi="Times New Roman" w:cs="Times New Roman"/>
          <w:b/>
          <w:bCs/>
          <w:caps/>
          <w:sz w:val="28"/>
          <w:szCs w:val="28"/>
        </w:rPr>
        <w:br/>
      </w:r>
      <w:r w:rsidR="00F60F81">
        <w:rPr>
          <w:rFonts w:ascii="Times New Roman" w:hAnsi="Times New Roman" w:cs="Times New Roman"/>
          <w:sz w:val="28"/>
          <w:szCs w:val="28"/>
        </w:rPr>
        <w:t xml:space="preserve"> </w:t>
      </w:r>
      <w:r w:rsidR="00F60F81">
        <w:rPr>
          <w:rFonts w:ascii="Times New Roman" w:hAnsi="Times New Roman" w:cs="Times New Roman"/>
          <w:sz w:val="28"/>
          <w:szCs w:val="28"/>
        </w:rPr>
        <w:tab/>
      </w:r>
      <w:r w:rsidR="00BA13DF" w:rsidRPr="00F60F81">
        <w:rPr>
          <w:rFonts w:ascii="Times New Roman" w:hAnsi="Times New Roman" w:cs="Times New Roman"/>
          <w:b/>
          <w:bCs/>
          <w:sz w:val="28"/>
          <w:szCs w:val="28"/>
        </w:rPr>
        <w:t>3.</w:t>
      </w:r>
      <w:r w:rsidR="00D570FB" w:rsidRPr="00F60F81">
        <w:rPr>
          <w:rFonts w:ascii="Times New Roman" w:hAnsi="Times New Roman" w:cs="Times New Roman"/>
          <w:b/>
          <w:bCs/>
          <w:sz w:val="28"/>
          <w:szCs w:val="28"/>
        </w:rPr>
        <w:t>1</w:t>
      </w:r>
      <w:r w:rsidR="00BA13DF" w:rsidRPr="00F60F81">
        <w:rPr>
          <w:rFonts w:ascii="Times New Roman" w:hAnsi="Times New Roman" w:cs="Times New Roman"/>
          <w:b/>
          <w:bCs/>
          <w:sz w:val="28"/>
          <w:szCs w:val="28"/>
        </w:rPr>
        <w:t xml:space="preserve"> </w:t>
      </w:r>
      <w:r w:rsidR="00D570FB" w:rsidRPr="00F60F81">
        <w:rPr>
          <w:rFonts w:ascii="Times New Roman" w:hAnsi="Times New Roman" w:cs="Times New Roman"/>
          <w:b/>
          <w:bCs/>
          <w:sz w:val="28"/>
          <w:szCs w:val="28"/>
        </w:rPr>
        <w:t>Просторова візуалізація розташування ЦОД у Києві: від локальних точок до системної мережі</w:t>
      </w:r>
      <w:r w:rsidR="00465D92">
        <w:rPr>
          <w:rFonts w:ascii="Times New Roman" w:hAnsi="Times New Roman" w:cs="Times New Roman"/>
          <w:sz w:val="28"/>
          <w:szCs w:val="28"/>
        </w:rPr>
        <w:t xml:space="preserve"> </w:t>
      </w:r>
    </w:p>
    <w:p w14:paraId="763FB90F" w14:textId="77777777" w:rsidR="00107E42" w:rsidRDefault="00F60F81" w:rsidP="00107E42">
      <w:pPr>
        <w:pStyle w:val="af"/>
        <w:spacing w:line="360" w:lineRule="auto"/>
        <w:ind w:firstLine="708"/>
        <w:jc w:val="both"/>
        <w:rPr>
          <w:rFonts w:ascii="Times New Roman" w:hAnsi="Times New Roman" w:cs="Times New Roman"/>
          <w:sz w:val="28"/>
          <w:szCs w:val="28"/>
        </w:rPr>
      </w:pPr>
      <w:r w:rsidRPr="00F60F81">
        <w:rPr>
          <w:rFonts w:ascii="Times New Roman" w:hAnsi="Times New Roman" w:cs="Times New Roman"/>
          <w:sz w:val="28"/>
          <w:szCs w:val="28"/>
        </w:rPr>
        <w:t>На першому етапі було створено векторний шар точкових об'єктів, що репрезентують діючі ЦОД на території столиці. Геокодування адресних даних дозволило виявити чітку просторову кластеризацію: найбільша концентрація об'єктів спостерігається у колишніх промислових зонах (зокрема, Подільсько-Куренівський промисловий вузол</w:t>
      </w:r>
      <w:r w:rsidR="00E8109A">
        <w:rPr>
          <w:rFonts w:ascii="Times New Roman" w:hAnsi="Times New Roman" w:cs="Times New Roman"/>
          <w:sz w:val="28"/>
          <w:szCs w:val="28"/>
        </w:rPr>
        <w:t>, Солом’янського району, та центральних частин міста</w:t>
      </w:r>
      <w:r w:rsidRPr="00F60F81">
        <w:rPr>
          <w:rFonts w:ascii="Times New Roman" w:hAnsi="Times New Roman" w:cs="Times New Roman"/>
          <w:sz w:val="28"/>
          <w:szCs w:val="28"/>
        </w:rPr>
        <w:t>). Така локалізація є історично зумовленою (наявність потужних електричних підстанцій), проте вона створює унікальне вікно можливостей для ревітальзації цих зон через інтеграцію з новими житловими комплексами.</w:t>
      </w:r>
      <w:r w:rsidR="00BA13DF">
        <w:rPr>
          <w:rFonts w:ascii="Times New Roman" w:hAnsi="Times New Roman" w:cs="Times New Roman"/>
          <w:sz w:val="28"/>
          <w:szCs w:val="28"/>
        </w:rPr>
        <w:br/>
      </w:r>
      <w:r w:rsidR="00A23EAD">
        <w:rPr>
          <w:rFonts w:ascii="Times New Roman" w:hAnsi="Times New Roman" w:cs="Times New Roman"/>
          <w:noProof/>
          <w:sz w:val="28"/>
          <w:szCs w:val="28"/>
          <w:lang w:eastAsia="uk-UA"/>
          <w14:ligatures w14:val="standardContextual"/>
        </w:rPr>
        <w:drawing>
          <wp:inline distT="0" distB="0" distL="0" distR="0" wp14:anchorId="12E4E119" wp14:editId="1D95A547">
            <wp:extent cx="5238750" cy="4298220"/>
            <wp:effectExtent l="0" t="0" r="0" b="7620"/>
            <wp:docPr id="14733657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365716" name="Рисунок 1473365716"/>
                    <pic:cNvPicPr/>
                  </pic:nvPicPr>
                  <pic:blipFill>
                    <a:blip r:embed="rId9">
                      <a:extLst>
                        <a:ext uri="{28A0092B-C50C-407E-A947-70E740481C1C}">
                          <a14:useLocalDpi xmlns:a14="http://schemas.microsoft.com/office/drawing/2010/main" val="0"/>
                        </a:ext>
                      </a:extLst>
                    </a:blip>
                    <a:stretch>
                      <a:fillRect/>
                    </a:stretch>
                  </pic:blipFill>
                  <pic:spPr>
                    <a:xfrm>
                      <a:off x="0" y="0"/>
                      <a:ext cx="5264556" cy="4319393"/>
                    </a:xfrm>
                    <a:prstGeom prst="rect">
                      <a:avLst/>
                    </a:prstGeom>
                  </pic:spPr>
                </pic:pic>
              </a:graphicData>
            </a:graphic>
          </wp:inline>
        </w:drawing>
      </w:r>
      <w:r w:rsidR="00146180">
        <w:rPr>
          <w:rFonts w:ascii="Times New Roman" w:hAnsi="Times New Roman" w:cs="Times New Roman"/>
          <w:sz w:val="28"/>
          <w:szCs w:val="28"/>
        </w:rPr>
        <w:br/>
      </w:r>
      <w:r w:rsidR="00146180" w:rsidRPr="00146180">
        <w:rPr>
          <w:rFonts w:ascii="Times New Roman" w:hAnsi="Times New Roman" w:cs="Times New Roman"/>
          <w:sz w:val="28"/>
          <w:szCs w:val="28"/>
        </w:rPr>
        <w:t>Рис. 3.1</w:t>
      </w:r>
      <w:r w:rsidR="00D22193">
        <w:rPr>
          <w:rFonts w:ascii="Times New Roman" w:hAnsi="Times New Roman" w:cs="Times New Roman"/>
          <w:sz w:val="28"/>
          <w:szCs w:val="28"/>
        </w:rPr>
        <w:t>.</w:t>
      </w:r>
      <w:r w:rsidR="00146180" w:rsidRPr="00146180">
        <w:rPr>
          <w:rFonts w:ascii="Times New Roman" w:hAnsi="Times New Roman" w:cs="Times New Roman"/>
          <w:sz w:val="28"/>
          <w:szCs w:val="28"/>
        </w:rPr>
        <w:t xml:space="preserve"> Просторова локалізація ключових центрів обробки даних м. Києва як потенційних джерел скидного тепла.</w:t>
      </w:r>
    </w:p>
    <w:p w14:paraId="1E38ABB3" w14:textId="7F1FA74C" w:rsidR="00107E42" w:rsidRDefault="00E8109A" w:rsidP="00107E42">
      <w:pPr>
        <w:pStyle w:val="af"/>
        <w:spacing w:line="360" w:lineRule="auto"/>
        <w:ind w:firstLine="708"/>
        <w:jc w:val="both"/>
        <w:rPr>
          <w:rFonts w:ascii="Times New Roman" w:hAnsi="Times New Roman" w:cs="Times New Roman"/>
          <w:sz w:val="28"/>
          <w:szCs w:val="28"/>
        </w:rPr>
      </w:pPr>
      <w:r w:rsidRPr="00E8109A">
        <w:rPr>
          <w:rFonts w:ascii="Times New Roman" w:hAnsi="Times New Roman" w:cs="Times New Roman"/>
          <w:sz w:val="28"/>
          <w:szCs w:val="28"/>
        </w:rPr>
        <w:lastRenderedPageBreak/>
        <w:t>Ключовим параметром для оптимізації капітальних витрат (CAPEX) на прокладання інженерних комунікацій є відстань транспортування низькопотенційного тепла. Згідно з термодинамічними та економічними розрахунками, оптимальний радіус передачі скидного тепла без критичних втрат ексергії становить до 1000 метрів. Для ідентифікації об'єктів-споживачів, що потрапляють у цю зону, було застосовано алгоритм створення зон просторової фільтрації</w:t>
      </w:r>
      <w:r w:rsidR="00107E42">
        <w:rPr>
          <w:rFonts w:ascii="Times New Roman" w:hAnsi="Times New Roman" w:cs="Times New Roman"/>
          <w:sz w:val="28"/>
          <w:szCs w:val="28"/>
        </w:rPr>
        <w:t>.</w:t>
      </w:r>
      <w:r w:rsidRPr="00E8109A">
        <w:rPr>
          <w:rFonts w:ascii="Times New Roman" w:hAnsi="Times New Roman" w:cs="Times New Roman"/>
          <w:sz w:val="28"/>
          <w:szCs w:val="28"/>
        </w:rPr>
        <w:t xml:space="preserve"> </w:t>
      </w:r>
    </w:p>
    <w:p w14:paraId="58488578" w14:textId="713520CF" w:rsidR="00107E42" w:rsidRDefault="00E8109A" w:rsidP="00107E42">
      <w:pPr>
        <w:pStyle w:val="af"/>
        <w:spacing w:line="360" w:lineRule="auto"/>
        <w:ind w:firstLine="708"/>
        <w:jc w:val="both"/>
        <w:rPr>
          <w:rFonts w:ascii="Times New Roman" w:hAnsi="Times New Roman" w:cs="Times New Roman"/>
          <w:sz w:val="28"/>
          <w:szCs w:val="28"/>
        </w:rPr>
      </w:pPr>
      <w:r w:rsidRPr="00E8109A">
        <w:rPr>
          <w:rFonts w:ascii="Times New Roman" w:hAnsi="Times New Roman" w:cs="Times New Roman"/>
          <w:sz w:val="28"/>
          <w:szCs w:val="28"/>
        </w:rPr>
        <w:t>.</w:t>
      </w:r>
      <w:r w:rsidR="00A23EAD">
        <w:rPr>
          <w:rFonts w:ascii="Times New Roman" w:hAnsi="Times New Roman" w:cs="Times New Roman"/>
          <w:noProof/>
          <w:sz w:val="28"/>
          <w:szCs w:val="28"/>
          <w:lang w:eastAsia="uk-UA"/>
          <w14:ligatures w14:val="standardContextual"/>
        </w:rPr>
        <w:drawing>
          <wp:inline distT="0" distB="0" distL="0" distR="0" wp14:anchorId="13E5A8E5" wp14:editId="69F1246D">
            <wp:extent cx="4505325" cy="3531619"/>
            <wp:effectExtent l="0" t="0" r="0" b="5080"/>
            <wp:docPr id="190884458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844580" name="Рисунок 1908844580"/>
                    <pic:cNvPicPr/>
                  </pic:nvPicPr>
                  <pic:blipFill>
                    <a:blip r:embed="rId10">
                      <a:extLst>
                        <a:ext uri="{28A0092B-C50C-407E-A947-70E740481C1C}">
                          <a14:useLocalDpi xmlns:a14="http://schemas.microsoft.com/office/drawing/2010/main" val="0"/>
                        </a:ext>
                      </a:extLst>
                    </a:blip>
                    <a:stretch>
                      <a:fillRect/>
                    </a:stretch>
                  </pic:blipFill>
                  <pic:spPr>
                    <a:xfrm>
                      <a:off x="0" y="0"/>
                      <a:ext cx="4505325" cy="3531619"/>
                    </a:xfrm>
                    <a:prstGeom prst="rect">
                      <a:avLst/>
                    </a:prstGeom>
                  </pic:spPr>
                </pic:pic>
              </a:graphicData>
            </a:graphic>
          </wp:inline>
        </w:drawing>
      </w:r>
    </w:p>
    <w:p w14:paraId="2D3BD214" w14:textId="77777777" w:rsidR="00107E42" w:rsidRDefault="009F2C85" w:rsidP="00107E42">
      <w:pPr>
        <w:pStyle w:val="af"/>
        <w:spacing w:line="360" w:lineRule="auto"/>
        <w:ind w:firstLine="708"/>
        <w:jc w:val="both"/>
        <w:rPr>
          <w:rFonts w:ascii="Times New Roman" w:hAnsi="Times New Roman" w:cs="Times New Roman"/>
          <w:sz w:val="28"/>
          <w:szCs w:val="28"/>
        </w:rPr>
      </w:pPr>
      <w:r w:rsidRPr="009F2C85">
        <w:rPr>
          <w:rFonts w:ascii="Times New Roman" w:hAnsi="Times New Roman" w:cs="Times New Roman"/>
          <w:sz w:val="28"/>
          <w:szCs w:val="28"/>
        </w:rPr>
        <w:t>Рис. 3.2</w:t>
      </w:r>
      <w:r w:rsidR="00D22193">
        <w:rPr>
          <w:rFonts w:ascii="Times New Roman" w:hAnsi="Times New Roman" w:cs="Times New Roman"/>
          <w:sz w:val="28"/>
          <w:szCs w:val="28"/>
        </w:rPr>
        <w:t>.</w:t>
      </w:r>
      <w:r w:rsidRPr="009F2C85">
        <w:rPr>
          <w:rFonts w:ascii="Times New Roman" w:hAnsi="Times New Roman" w:cs="Times New Roman"/>
          <w:sz w:val="28"/>
          <w:szCs w:val="28"/>
        </w:rPr>
        <w:t xml:space="preserve"> Зони просторової фільтрації (радіус 1000 м) навколо діючих ЦОД для визначення економічно доцільної зони теплопостачання.</w:t>
      </w:r>
    </w:p>
    <w:p w14:paraId="53E04F99" w14:textId="77777777" w:rsidR="00107E42" w:rsidRDefault="009F2C85" w:rsidP="00107E42">
      <w:pPr>
        <w:pStyle w:val="af"/>
        <w:spacing w:line="360" w:lineRule="auto"/>
        <w:ind w:firstLine="708"/>
        <w:jc w:val="both"/>
        <w:rPr>
          <w:rFonts w:ascii="Times New Roman" w:hAnsi="Times New Roman" w:cs="Times New Roman"/>
          <w:sz w:val="28"/>
          <w:szCs w:val="28"/>
        </w:rPr>
      </w:pPr>
      <w:r w:rsidRPr="006E77D9">
        <w:rPr>
          <w:rFonts w:ascii="Times New Roman" w:hAnsi="Times New Roman" w:cs="Times New Roman"/>
          <w:sz w:val="28"/>
          <w:szCs w:val="28"/>
        </w:rPr>
        <w:t>Результати буферизації дозволили відсіяти міську забудову, підключення якої до ЦОД є економічно нерентабельним, і сфокусувати подальший аналіз виключно на об'єктах у межах блакитних зон покриття.</w:t>
      </w:r>
    </w:p>
    <w:p w14:paraId="21D9789E" w14:textId="2EF508FC" w:rsidR="00107E42" w:rsidRDefault="006E77D9" w:rsidP="00107E42">
      <w:pPr>
        <w:pStyle w:val="af"/>
        <w:spacing w:line="360" w:lineRule="auto"/>
        <w:ind w:firstLine="708"/>
        <w:jc w:val="both"/>
        <w:rPr>
          <w:rFonts w:ascii="Times New Roman" w:hAnsi="Times New Roman" w:cs="Times New Roman"/>
          <w:sz w:val="28"/>
          <w:szCs w:val="28"/>
        </w:rPr>
      </w:pPr>
      <w:r w:rsidRPr="006E77D9">
        <w:rPr>
          <w:rFonts w:ascii="Times New Roman" w:hAnsi="Times New Roman" w:cs="Times New Roman"/>
          <w:sz w:val="28"/>
          <w:szCs w:val="28"/>
        </w:rPr>
        <w:t xml:space="preserve">Оскільки радіуси буферизації кількох ЦОД можуть перетинатися (створюючи конфлікт інтересів щодо споживача), для чіткого розмежування «зон відповідальності» кожного дата-центру було застосовано математичний алгоритм побудови полігонів Вороного. Цей метод розбиває двовимірну площину таким чином, що кожна точка всередині утвореного полігону </w:t>
      </w:r>
      <w:r w:rsidRPr="006E77D9">
        <w:rPr>
          <w:rFonts w:ascii="Times New Roman" w:hAnsi="Times New Roman" w:cs="Times New Roman"/>
          <w:sz w:val="28"/>
          <w:szCs w:val="28"/>
        </w:rPr>
        <w:lastRenderedPageBreak/>
        <w:t>знаходиться просторово ближче до свого генеруючого вузла (ЦОД), ніж до будь-якого іншого</w:t>
      </w:r>
      <w:r w:rsidR="00107E42">
        <w:rPr>
          <w:rFonts w:ascii="Times New Roman" w:hAnsi="Times New Roman" w:cs="Times New Roman"/>
          <w:sz w:val="28"/>
          <w:szCs w:val="28"/>
        </w:rPr>
        <w:t>.</w:t>
      </w:r>
    </w:p>
    <w:p w14:paraId="76C2B753" w14:textId="77777777" w:rsidR="00107E42" w:rsidRDefault="00A23EAD" w:rsidP="00107E42">
      <w:pPr>
        <w:pStyle w:val="af"/>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drawing>
          <wp:inline distT="0" distB="0" distL="0" distR="0" wp14:anchorId="628B5287" wp14:editId="0F38E0A4">
            <wp:extent cx="4705350" cy="3670332"/>
            <wp:effectExtent l="0" t="0" r="0" b="6350"/>
            <wp:docPr id="159528717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287170" name="Рисунок 1595287170"/>
                    <pic:cNvPicPr/>
                  </pic:nvPicPr>
                  <pic:blipFill>
                    <a:blip r:embed="rId11">
                      <a:extLst>
                        <a:ext uri="{28A0092B-C50C-407E-A947-70E740481C1C}">
                          <a14:useLocalDpi xmlns:a14="http://schemas.microsoft.com/office/drawing/2010/main" val="0"/>
                        </a:ext>
                      </a:extLst>
                    </a:blip>
                    <a:stretch>
                      <a:fillRect/>
                    </a:stretch>
                  </pic:blipFill>
                  <pic:spPr>
                    <a:xfrm>
                      <a:off x="0" y="0"/>
                      <a:ext cx="4721165" cy="3682668"/>
                    </a:xfrm>
                    <a:prstGeom prst="rect">
                      <a:avLst/>
                    </a:prstGeom>
                  </pic:spPr>
                </pic:pic>
              </a:graphicData>
            </a:graphic>
          </wp:inline>
        </w:drawing>
      </w:r>
      <w:r w:rsidR="006E77D9">
        <w:rPr>
          <w:rFonts w:ascii="Times New Roman" w:hAnsi="Times New Roman" w:cs="Times New Roman"/>
          <w:sz w:val="28"/>
          <w:szCs w:val="28"/>
        </w:rPr>
        <w:br/>
      </w:r>
      <w:r w:rsidR="00842947" w:rsidRPr="00842947">
        <w:rPr>
          <w:rFonts w:ascii="Times New Roman" w:hAnsi="Times New Roman" w:cs="Times New Roman"/>
          <w:sz w:val="28"/>
          <w:szCs w:val="28"/>
        </w:rPr>
        <w:t>Рис. 3.3</w:t>
      </w:r>
      <w:r w:rsidR="00D22193">
        <w:rPr>
          <w:rFonts w:ascii="Times New Roman" w:hAnsi="Times New Roman" w:cs="Times New Roman"/>
          <w:sz w:val="28"/>
          <w:szCs w:val="28"/>
        </w:rPr>
        <w:t>.</w:t>
      </w:r>
      <w:r w:rsidR="00842947" w:rsidRPr="00842947">
        <w:rPr>
          <w:rFonts w:ascii="Times New Roman" w:hAnsi="Times New Roman" w:cs="Times New Roman"/>
          <w:sz w:val="28"/>
          <w:szCs w:val="28"/>
        </w:rPr>
        <w:t xml:space="preserve"> Моделювання зон теплового тяжіння об'єктів соціальної інфраструктури на основі полігонів Вороного</w:t>
      </w:r>
    </w:p>
    <w:p w14:paraId="66C028EC" w14:textId="77777777" w:rsidR="00107E42" w:rsidRDefault="00842947" w:rsidP="00107E42">
      <w:pPr>
        <w:pStyle w:val="af"/>
        <w:spacing w:line="360" w:lineRule="auto"/>
        <w:ind w:firstLine="708"/>
        <w:jc w:val="both"/>
        <w:rPr>
          <w:rFonts w:ascii="Times New Roman" w:hAnsi="Times New Roman" w:cs="Times New Roman"/>
          <w:sz w:val="28"/>
          <w:szCs w:val="28"/>
        </w:rPr>
      </w:pPr>
      <w:r w:rsidRPr="00842947">
        <w:rPr>
          <w:rFonts w:ascii="Times New Roman" w:hAnsi="Times New Roman" w:cs="Times New Roman"/>
          <w:sz w:val="28"/>
          <w:szCs w:val="28"/>
        </w:rPr>
        <w:t>Такий підхід дозволяє автоматизувати процес закріплення шкіл, дитячих садків та житлових будинків за конкретним джерелом скидного тепла, формуючи основу для розрахунку майбутнього теплового балансу та пропускної здатності трубопроводів.</w:t>
      </w:r>
    </w:p>
    <w:p w14:paraId="0A23B665" w14:textId="66BC7422" w:rsidR="0050430F" w:rsidRPr="0050430F" w:rsidRDefault="00A758B1" w:rsidP="00107E42">
      <w:pPr>
        <w:pStyle w:val="af"/>
        <w:spacing w:line="360" w:lineRule="auto"/>
        <w:ind w:firstLine="708"/>
        <w:jc w:val="both"/>
        <w:rPr>
          <w:sz w:val="28"/>
          <w:szCs w:val="28"/>
        </w:rPr>
      </w:pPr>
      <w:r>
        <w:rPr>
          <w:noProof/>
          <w:sz w:val="28"/>
          <w:szCs w:val="28"/>
          <w14:ligatures w14:val="standardContextual"/>
        </w:rPr>
        <w:drawing>
          <wp:inline distT="0" distB="0" distL="0" distR="0" wp14:anchorId="6E2B3858" wp14:editId="715947EC">
            <wp:extent cx="3676650" cy="2004821"/>
            <wp:effectExtent l="0" t="0" r="0" b="0"/>
            <wp:docPr id="71852249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522496" name="Рисунок 71852249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692450" cy="2013437"/>
                    </a:xfrm>
                    <a:prstGeom prst="rect">
                      <a:avLst/>
                    </a:prstGeom>
                  </pic:spPr>
                </pic:pic>
              </a:graphicData>
            </a:graphic>
          </wp:inline>
        </w:drawing>
      </w:r>
      <w:r w:rsidR="0050430F">
        <w:rPr>
          <w:rFonts w:ascii="Times New Roman" w:hAnsi="Times New Roman" w:cs="Times New Roman"/>
          <w:sz w:val="28"/>
          <w:szCs w:val="28"/>
        </w:rPr>
        <w:br/>
      </w:r>
      <w:r w:rsidR="0050430F" w:rsidRPr="0050430F">
        <w:rPr>
          <w:rFonts w:ascii="Times New Roman" w:hAnsi="Times New Roman" w:cs="Times New Roman"/>
          <w:sz w:val="28"/>
          <w:szCs w:val="28"/>
        </w:rPr>
        <w:t>Рис. 3.4. Уніфікована легенда результатів просторового ГІС-аналізу</w:t>
      </w:r>
    </w:p>
    <w:p w14:paraId="3FB75E1E" w14:textId="2F9D0416" w:rsidR="00107E42" w:rsidRDefault="00CD1C74" w:rsidP="00107E42">
      <w:pPr>
        <w:pStyle w:val="af"/>
        <w:spacing w:line="360" w:lineRule="auto"/>
        <w:jc w:val="both"/>
        <w:rPr>
          <w:rStyle w:val="citation-156"/>
          <w:rFonts w:ascii="Times New Roman" w:hAnsi="Times New Roman" w:cs="Times New Roman"/>
          <w:b/>
          <w:bCs/>
          <w:color w:val="000000" w:themeColor="text1"/>
          <w:sz w:val="28"/>
          <w:szCs w:val="28"/>
        </w:rPr>
      </w:pPr>
      <w:r>
        <w:rPr>
          <w:noProof/>
          <w:sz w:val="28"/>
          <w:szCs w:val="28"/>
          <w14:ligatures w14:val="standardContextual"/>
        </w:rPr>
        <w:lastRenderedPageBreak/>
        <w:drawing>
          <wp:inline distT="0" distB="0" distL="0" distR="0" wp14:anchorId="68124F1B" wp14:editId="7D9F55A5">
            <wp:extent cx="6120765" cy="2543175"/>
            <wp:effectExtent l="0" t="0" r="0" b="9525"/>
            <wp:docPr id="179351198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511986" name="Рисунок 1793511986"/>
                    <pic:cNvPicPr/>
                  </pic:nvPicPr>
                  <pic:blipFill rotWithShape="1">
                    <a:blip r:embed="rId13">
                      <a:extLst>
                        <a:ext uri="{28A0092B-C50C-407E-A947-70E740481C1C}">
                          <a14:useLocalDpi xmlns:a14="http://schemas.microsoft.com/office/drawing/2010/main" val="0"/>
                        </a:ext>
                      </a:extLst>
                    </a:blip>
                    <a:srcRect b="12840"/>
                    <a:stretch>
                      <a:fillRect/>
                    </a:stretch>
                  </pic:blipFill>
                  <pic:spPr bwMode="auto">
                    <a:xfrm>
                      <a:off x="0" y="0"/>
                      <a:ext cx="6120765" cy="2543175"/>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rPr>
        <w:br/>
      </w:r>
      <w:r w:rsidR="006D0FA9" w:rsidRPr="0050430F">
        <w:rPr>
          <w:rFonts w:ascii="Times New Roman" w:hAnsi="Times New Roman" w:cs="Times New Roman"/>
          <w:sz w:val="28"/>
          <w:szCs w:val="28"/>
        </w:rPr>
        <w:t>Рис. 3.</w:t>
      </w:r>
      <w:r w:rsidR="006D0FA9">
        <w:rPr>
          <w:rFonts w:ascii="Times New Roman" w:hAnsi="Times New Roman" w:cs="Times New Roman"/>
          <w:sz w:val="28"/>
          <w:szCs w:val="28"/>
        </w:rPr>
        <w:t>5</w:t>
      </w:r>
      <w:r w:rsidR="00D22193">
        <w:rPr>
          <w:rFonts w:ascii="Times New Roman" w:hAnsi="Times New Roman" w:cs="Times New Roman"/>
          <w:sz w:val="28"/>
          <w:szCs w:val="28"/>
        </w:rPr>
        <w:t>.</w:t>
      </w:r>
      <w:r w:rsidR="006D0FA9" w:rsidRPr="0050430F">
        <w:rPr>
          <w:rFonts w:ascii="Times New Roman" w:hAnsi="Times New Roman" w:cs="Times New Roman"/>
          <w:sz w:val="28"/>
          <w:szCs w:val="28"/>
        </w:rPr>
        <w:t xml:space="preserve"> </w:t>
      </w:r>
      <w:r w:rsidR="00FF4632">
        <w:rPr>
          <w:rFonts w:ascii="Times New Roman" w:hAnsi="Times New Roman" w:cs="Times New Roman"/>
          <w:sz w:val="28"/>
          <w:szCs w:val="28"/>
        </w:rPr>
        <w:t>Центральна частина міста</w:t>
      </w:r>
      <w:r w:rsidR="00FF4632">
        <w:rPr>
          <w:rFonts w:ascii="Times New Roman" w:hAnsi="Times New Roman" w:cs="Times New Roman"/>
          <w:sz w:val="28"/>
          <w:szCs w:val="28"/>
        </w:rPr>
        <w:br/>
      </w:r>
      <w:r w:rsidR="00FF4632">
        <w:rPr>
          <w:noProof/>
          <w:sz w:val="28"/>
          <w:szCs w:val="28"/>
          <w14:ligatures w14:val="standardContextual"/>
        </w:rPr>
        <w:drawing>
          <wp:inline distT="0" distB="0" distL="0" distR="0" wp14:anchorId="4478DAF7" wp14:editId="352CB11D">
            <wp:extent cx="6120765" cy="3161030"/>
            <wp:effectExtent l="0" t="0" r="0" b="1270"/>
            <wp:docPr id="91113970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139703" name="Рисунок 911139703"/>
                    <pic:cNvPicPr/>
                  </pic:nvPicPr>
                  <pic:blipFill rotWithShape="1">
                    <a:blip r:embed="rId14">
                      <a:extLst>
                        <a:ext uri="{28A0092B-C50C-407E-A947-70E740481C1C}">
                          <a14:useLocalDpi xmlns:a14="http://schemas.microsoft.com/office/drawing/2010/main" val="0"/>
                        </a:ext>
                      </a:extLst>
                    </a:blip>
                    <a:srcRect t="17418"/>
                    <a:stretch>
                      <a:fillRect/>
                    </a:stretch>
                  </pic:blipFill>
                  <pic:spPr bwMode="auto">
                    <a:xfrm>
                      <a:off x="0" y="0"/>
                      <a:ext cx="6120765" cy="3161030"/>
                    </a:xfrm>
                    <a:prstGeom prst="rect">
                      <a:avLst/>
                    </a:prstGeom>
                    <a:ln>
                      <a:noFill/>
                    </a:ln>
                    <a:extLst>
                      <a:ext uri="{53640926-AAD7-44D8-BBD7-CCE9431645EC}">
                        <a14:shadowObscured xmlns:a14="http://schemas.microsoft.com/office/drawing/2010/main"/>
                      </a:ext>
                    </a:extLst>
                  </pic:spPr>
                </pic:pic>
              </a:graphicData>
            </a:graphic>
          </wp:inline>
        </w:drawing>
      </w:r>
      <w:r w:rsidR="00FF4632">
        <w:rPr>
          <w:rFonts w:ascii="Times New Roman" w:hAnsi="Times New Roman" w:cs="Times New Roman"/>
          <w:sz w:val="28"/>
          <w:szCs w:val="28"/>
        </w:rPr>
        <w:br/>
      </w:r>
      <w:r w:rsidR="00FF4632" w:rsidRPr="0050430F">
        <w:rPr>
          <w:rFonts w:ascii="Times New Roman" w:hAnsi="Times New Roman" w:cs="Times New Roman"/>
          <w:sz w:val="28"/>
          <w:szCs w:val="28"/>
        </w:rPr>
        <w:t>Рис. 3.</w:t>
      </w:r>
      <w:r w:rsidR="00FF4632">
        <w:rPr>
          <w:rFonts w:ascii="Times New Roman" w:hAnsi="Times New Roman" w:cs="Times New Roman"/>
          <w:sz w:val="28"/>
          <w:szCs w:val="28"/>
        </w:rPr>
        <w:t>6</w:t>
      </w:r>
      <w:r w:rsidR="00D22193">
        <w:rPr>
          <w:rFonts w:ascii="Times New Roman" w:hAnsi="Times New Roman" w:cs="Times New Roman"/>
          <w:sz w:val="28"/>
          <w:szCs w:val="28"/>
        </w:rPr>
        <w:t>.</w:t>
      </w:r>
      <w:r w:rsidR="00FF4632" w:rsidRPr="0050430F">
        <w:rPr>
          <w:rFonts w:ascii="Times New Roman" w:hAnsi="Times New Roman" w:cs="Times New Roman"/>
          <w:sz w:val="28"/>
          <w:szCs w:val="28"/>
        </w:rPr>
        <w:t xml:space="preserve"> </w:t>
      </w:r>
      <w:r w:rsidR="00FF4632">
        <w:rPr>
          <w:rFonts w:ascii="Times New Roman" w:hAnsi="Times New Roman" w:cs="Times New Roman"/>
          <w:sz w:val="28"/>
          <w:szCs w:val="28"/>
        </w:rPr>
        <w:t>Частина Голосіївського району міста</w:t>
      </w:r>
      <w:r w:rsidR="00FF4632">
        <w:rPr>
          <w:rFonts w:ascii="Times New Roman" w:hAnsi="Times New Roman" w:cs="Times New Roman"/>
          <w:sz w:val="28"/>
          <w:szCs w:val="28"/>
        </w:rPr>
        <w:br/>
      </w:r>
      <w:r w:rsidR="00FF4632">
        <w:rPr>
          <w:noProof/>
          <w:sz w:val="28"/>
          <w:szCs w:val="28"/>
          <w14:ligatures w14:val="standardContextual"/>
        </w:rPr>
        <w:drawing>
          <wp:inline distT="0" distB="0" distL="0" distR="0" wp14:anchorId="580894C2" wp14:editId="3B84284E">
            <wp:extent cx="6120765" cy="2200275"/>
            <wp:effectExtent l="0" t="0" r="0" b="9525"/>
            <wp:docPr id="184776038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760385" name="Рисунок 1847760385"/>
                    <pic:cNvPicPr/>
                  </pic:nvPicPr>
                  <pic:blipFill rotWithShape="1">
                    <a:blip r:embed="rId15">
                      <a:extLst>
                        <a:ext uri="{28A0092B-C50C-407E-A947-70E740481C1C}">
                          <a14:useLocalDpi xmlns:a14="http://schemas.microsoft.com/office/drawing/2010/main" val="0"/>
                        </a:ext>
                      </a:extLst>
                    </a:blip>
                    <a:srcRect t="14502" b="9361"/>
                    <a:stretch>
                      <a:fillRect/>
                    </a:stretch>
                  </pic:blipFill>
                  <pic:spPr bwMode="auto">
                    <a:xfrm>
                      <a:off x="0" y="0"/>
                      <a:ext cx="6120765" cy="2200275"/>
                    </a:xfrm>
                    <a:prstGeom prst="rect">
                      <a:avLst/>
                    </a:prstGeom>
                    <a:ln>
                      <a:noFill/>
                    </a:ln>
                    <a:extLst>
                      <a:ext uri="{53640926-AAD7-44D8-BBD7-CCE9431645EC}">
                        <a14:shadowObscured xmlns:a14="http://schemas.microsoft.com/office/drawing/2010/main"/>
                      </a:ext>
                    </a:extLst>
                  </pic:spPr>
                </pic:pic>
              </a:graphicData>
            </a:graphic>
          </wp:inline>
        </w:drawing>
      </w:r>
      <w:r w:rsidR="00FF4632">
        <w:rPr>
          <w:rFonts w:ascii="Times New Roman" w:hAnsi="Times New Roman" w:cs="Times New Roman"/>
          <w:sz w:val="28"/>
          <w:szCs w:val="28"/>
        </w:rPr>
        <w:br/>
      </w:r>
      <w:r w:rsidR="00FF4632" w:rsidRPr="0050430F">
        <w:rPr>
          <w:rFonts w:ascii="Times New Roman" w:hAnsi="Times New Roman" w:cs="Times New Roman"/>
          <w:sz w:val="28"/>
          <w:szCs w:val="28"/>
        </w:rPr>
        <w:t>Рис. 3.</w:t>
      </w:r>
      <w:r w:rsidR="00FF4632">
        <w:rPr>
          <w:rFonts w:ascii="Times New Roman" w:hAnsi="Times New Roman" w:cs="Times New Roman"/>
          <w:sz w:val="28"/>
          <w:szCs w:val="28"/>
        </w:rPr>
        <w:t>7</w:t>
      </w:r>
      <w:r w:rsidR="00FF4632" w:rsidRPr="0050430F">
        <w:rPr>
          <w:rFonts w:ascii="Times New Roman" w:hAnsi="Times New Roman" w:cs="Times New Roman"/>
          <w:sz w:val="28"/>
          <w:szCs w:val="28"/>
        </w:rPr>
        <w:t xml:space="preserve">. </w:t>
      </w:r>
      <w:r w:rsidR="00D22193">
        <w:rPr>
          <w:rFonts w:ascii="Times New Roman" w:hAnsi="Times New Roman" w:cs="Times New Roman"/>
          <w:sz w:val="28"/>
          <w:szCs w:val="28"/>
        </w:rPr>
        <w:t>Частина Солом’янського району міста</w:t>
      </w:r>
      <w:r w:rsidR="00D22193">
        <w:rPr>
          <w:rFonts w:ascii="Times New Roman" w:hAnsi="Times New Roman" w:cs="Times New Roman"/>
          <w:sz w:val="28"/>
          <w:szCs w:val="28"/>
        </w:rPr>
        <w:br/>
      </w:r>
      <w:r w:rsidR="00121F0F">
        <w:rPr>
          <w:rFonts w:ascii="Times New Roman" w:hAnsi="Times New Roman" w:cs="Times New Roman"/>
          <w:sz w:val="28"/>
          <w:szCs w:val="28"/>
        </w:rPr>
        <w:lastRenderedPageBreak/>
        <w:br/>
      </w:r>
      <w:r w:rsidR="00C8452F">
        <w:rPr>
          <w:rFonts w:ascii="Times New Roman" w:hAnsi="Times New Roman" w:cs="Times New Roman"/>
          <w:b/>
          <w:bCs/>
          <w:sz w:val="28"/>
          <w:szCs w:val="28"/>
        </w:rPr>
        <w:t xml:space="preserve"> </w:t>
      </w:r>
      <w:r w:rsidR="00C8452F">
        <w:rPr>
          <w:rFonts w:ascii="Times New Roman" w:hAnsi="Times New Roman" w:cs="Times New Roman"/>
          <w:b/>
          <w:bCs/>
          <w:sz w:val="28"/>
          <w:szCs w:val="28"/>
        </w:rPr>
        <w:tab/>
      </w:r>
      <w:r w:rsidR="00C8452F" w:rsidRPr="00C8452F">
        <w:rPr>
          <w:rFonts w:ascii="Times New Roman" w:hAnsi="Times New Roman" w:cs="Times New Roman"/>
          <w:b/>
          <w:bCs/>
          <w:sz w:val="28"/>
          <w:szCs w:val="28"/>
        </w:rPr>
        <w:t xml:space="preserve">3.2 </w:t>
      </w:r>
      <w:r w:rsidR="00C8452F" w:rsidRPr="00C8452F">
        <w:rPr>
          <w:rStyle w:val="citation-156"/>
          <w:rFonts w:ascii="Times New Roman" w:hAnsi="Times New Roman" w:cs="Times New Roman"/>
          <w:b/>
          <w:bCs/>
          <w:color w:val="000000" w:themeColor="text1"/>
          <w:sz w:val="28"/>
          <w:szCs w:val="28"/>
        </w:rPr>
        <w:t>Рекомендації щодо мінімізації втрат та впровадження еко-</w:t>
      </w:r>
      <w:r w:rsidR="00107E42" w:rsidRPr="00C8452F">
        <w:rPr>
          <w:rStyle w:val="citation-156"/>
          <w:rFonts w:ascii="Times New Roman" w:hAnsi="Times New Roman" w:cs="Times New Roman"/>
          <w:b/>
          <w:bCs/>
          <w:color w:val="000000" w:themeColor="text1"/>
          <w:sz w:val="28"/>
          <w:szCs w:val="28"/>
        </w:rPr>
        <w:t>симбіозу</w:t>
      </w:r>
    </w:p>
    <w:p w14:paraId="06F07A3C" w14:textId="77777777" w:rsidR="00107E42" w:rsidRDefault="00121F0F" w:rsidP="00107E42">
      <w:pPr>
        <w:pStyle w:val="af"/>
        <w:spacing w:line="360" w:lineRule="auto"/>
        <w:ind w:firstLine="708"/>
        <w:jc w:val="both"/>
        <w:rPr>
          <w:rFonts w:ascii="Times New Roman" w:hAnsi="Times New Roman" w:cs="Times New Roman"/>
          <w:sz w:val="28"/>
          <w:szCs w:val="28"/>
        </w:rPr>
      </w:pPr>
      <w:r w:rsidRPr="00C8452F">
        <w:rPr>
          <w:rFonts w:ascii="Times New Roman" w:hAnsi="Times New Roman" w:cs="Times New Roman"/>
          <w:sz w:val="28"/>
          <w:szCs w:val="28"/>
        </w:rPr>
        <w:t>Впровадження режиму «динамічного навантаження» є ключовим інструментом трансформації дата-центрів з пасивних споживачів енергії на активні елементи стабілізації міських енергосистем. Це концепція переходу від моделі «постійного максимального споживання» до моделі Grid-Interactive Data Centers (GIDC), де обчислювальна потужність дата-центру автоматично адаптується до поточних параметрів міської екосистеми та стану електромережі.</w:t>
      </w:r>
    </w:p>
    <w:p w14:paraId="56F2B469" w14:textId="77777777" w:rsidR="00107E42" w:rsidRDefault="00121F0F" w:rsidP="00107E42">
      <w:pPr>
        <w:pStyle w:val="af"/>
        <w:spacing w:line="360" w:lineRule="auto"/>
        <w:ind w:firstLine="708"/>
        <w:jc w:val="both"/>
        <w:rPr>
          <w:rFonts w:ascii="Times New Roman" w:hAnsi="Times New Roman" w:cs="Times New Roman"/>
          <w:sz w:val="28"/>
          <w:szCs w:val="28"/>
        </w:rPr>
      </w:pPr>
      <w:r w:rsidRPr="00C8452F">
        <w:rPr>
          <w:rFonts w:ascii="Times New Roman" w:hAnsi="Times New Roman" w:cs="Times New Roman"/>
          <w:sz w:val="28"/>
          <w:szCs w:val="28"/>
        </w:rPr>
        <w:t>Ключові механізми реалізації:</w:t>
      </w:r>
    </w:p>
    <w:p w14:paraId="52EF76EE" w14:textId="28711095" w:rsidR="00121F0F" w:rsidRPr="00C8452F" w:rsidRDefault="00121F0F" w:rsidP="00107E42">
      <w:pPr>
        <w:pStyle w:val="af"/>
        <w:spacing w:line="360" w:lineRule="auto"/>
        <w:ind w:firstLine="708"/>
        <w:jc w:val="both"/>
        <w:rPr>
          <w:rFonts w:ascii="Times New Roman" w:hAnsi="Times New Roman" w:cs="Times New Roman"/>
          <w:sz w:val="28"/>
          <w:szCs w:val="28"/>
        </w:rPr>
      </w:pPr>
      <w:r w:rsidRPr="00C8452F">
        <w:rPr>
          <w:rFonts w:ascii="Times New Roman" w:hAnsi="Times New Roman" w:cs="Times New Roman"/>
          <w:sz w:val="28"/>
          <w:szCs w:val="28"/>
        </w:rPr>
        <w:t>1.Алгоритмічне зміщення навантаження</w:t>
      </w:r>
      <w:r w:rsidR="00107E42">
        <w:rPr>
          <w:rFonts w:ascii="Times New Roman" w:hAnsi="Times New Roman" w:cs="Times New Roman"/>
          <w:sz w:val="28"/>
          <w:szCs w:val="28"/>
        </w:rPr>
        <w:t xml:space="preserve">. </w:t>
      </w:r>
      <w:r w:rsidRPr="00C8452F">
        <w:rPr>
          <w:rFonts w:ascii="Times New Roman" w:hAnsi="Times New Roman" w:cs="Times New Roman"/>
          <w:sz w:val="28"/>
          <w:szCs w:val="28"/>
        </w:rPr>
        <w:t>Використання програмно-керованих алгоритмів для перенесення нечутливих до часу обчислювальних завдань — таких як пакетна обробка даних, резервне копіювання, тренування моделей машинного навчання — з періодів пікового навантаження (зазвичай 18:00–22:00) на нічний час або години мінімального споживання містом. Це дозволяє зменшити пікову потужність на 15–25%, знижуючи критичне навантаження на трансформаторні підстанції.</w:t>
      </w:r>
    </w:p>
    <w:p w14:paraId="2035CF56" w14:textId="0683E791" w:rsidR="00121F0F" w:rsidRPr="00F87E6A" w:rsidRDefault="00121F0F" w:rsidP="00107E42">
      <w:pPr>
        <w:pStyle w:val="af"/>
        <w:spacing w:line="360" w:lineRule="auto"/>
        <w:ind w:firstLine="708"/>
        <w:jc w:val="both"/>
        <w:rPr>
          <w:rFonts w:ascii="Times New Roman" w:hAnsi="Times New Roman" w:cs="Times New Roman"/>
          <w:sz w:val="28"/>
          <w:szCs w:val="28"/>
        </w:rPr>
      </w:pPr>
      <w:r w:rsidRPr="00C8452F">
        <w:rPr>
          <w:rFonts w:ascii="Times New Roman" w:hAnsi="Times New Roman" w:cs="Times New Roman"/>
          <w:sz w:val="28"/>
          <w:szCs w:val="28"/>
        </w:rPr>
        <w:t xml:space="preserve">2.Географічна міграція навантаження </w:t>
      </w:r>
    </w:p>
    <w:p w14:paraId="5D3885A6" w14:textId="77777777" w:rsidR="00107E42" w:rsidRDefault="00121F0F" w:rsidP="00107E42">
      <w:pPr>
        <w:pStyle w:val="af"/>
        <w:spacing w:line="360" w:lineRule="auto"/>
        <w:ind w:firstLine="708"/>
        <w:jc w:val="both"/>
        <w:rPr>
          <w:rFonts w:ascii="Times New Roman" w:hAnsi="Times New Roman" w:cs="Times New Roman"/>
          <w:sz w:val="28"/>
          <w:szCs w:val="28"/>
        </w:rPr>
      </w:pPr>
      <w:r w:rsidRPr="00C8452F">
        <w:rPr>
          <w:rFonts w:ascii="Times New Roman" w:hAnsi="Times New Roman" w:cs="Times New Roman"/>
          <w:sz w:val="28"/>
          <w:szCs w:val="28"/>
        </w:rPr>
        <w:t>У разі локального перегріву («острова тепла») або критичного дефіциту енергії в одному районі міста, GIDC-системи забезпечують перенаправлення обчислювальних завдань на інші вузли, розміщені в районах з кращою аерацією або вільними потужностями енергомережі. Це дозволяє уникати роботи систем охолодження на граничних режимах, де їхня ефективність (COP) стрімко падає.</w:t>
      </w:r>
    </w:p>
    <w:p w14:paraId="0AF96E32" w14:textId="77777777" w:rsidR="00107E42" w:rsidRDefault="00C8452F" w:rsidP="00107E42">
      <w:pPr>
        <w:pStyle w:val="a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00121F0F" w:rsidRPr="00C8452F">
        <w:rPr>
          <w:rFonts w:ascii="Times New Roman" w:hAnsi="Times New Roman" w:cs="Times New Roman"/>
          <w:sz w:val="28"/>
          <w:szCs w:val="28"/>
        </w:rPr>
        <w:t>Взаємодія за принципом «Demand Response» (Управління попитом)</w:t>
      </w:r>
    </w:p>
    <w:p w14:paraId="0559ED90" w14:textId="77777777" w:rsidR="00107E42" w:rsidRDefault="00121F0F" w:rsidP="00107E42">
      <w:pPr>
        <w:pStyle w:val="af"/>
        <w:spacing w:line="360" w:lineRule="auto"/>
        <w:ind w:firstLine="708"/>
        <w:jc w:val="both"/>
        <w:rPr>
          <w:rFonts w:ascii="Times New Roman" w:hAnsi="Times New Roman" w:cs="Times New Roman"/>
          <w:sz w:val="28"/>
          <w:szCs w:val="28"/>
        </w:rPr>
      </w:pPr>
      <w:r w:rsidRPr="00C8452F">
        <w:rPr>
          <w:rFonts w:ascii="Times New Roman" w:hAnsi="Times New Roman" w:cs="Times New Roman"/>
          <w:sz w:val="28"/>
          <w:szCs w:val="28"/>
        </w:rPr>
        <w:t>Інтеграція ЦОД в систему автоматизованого диспетчерського керування енергомережею міста через відкриті API-протоколи. У випадку фіксації аварійного зниження частоти в електромережі (наприклад, через вихід з ладу генеруючих потужностей), дата-центр автоматично переходить на живлення від систем безперебійного живлення (UPS) або обмежує споживання некритичних процесів, запобігаючи каскадному колапсу міської енергосистеми.</w:t>
      </w:r>
    </w:p>
    <w:p w14:paraId="6C519D75" w14:textId="003ED40F" w:rsidR="00121F0F" w:rsidRPr="00C8452F" w:rsidRDefault="00C8452F" w:rsidP="00107E42">
      <w:pPr>
        <w:pStyle w:val="a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00121F0F" w:rsidRPr="00C8452F">
        <w:rPr>
          <w:rFonts w:ascii="Times New Roman" w:hAnsi="Times New Roman" w:cs="Times New Roman"/>
          <w:sz w:val="28"/>
          <w:szCs w:val="28"/>
        </w:rPr>
        <w:t>Температурно-адаптивне обчислення:</w:t>
      </w:r>
    </w:p>
    <w:p w14:paraId="41136A1C" w14:textId="77777777" w:rsidR="00107E42" w:rsidRDefault="00121F0F" w:rsidP="00107E42">
      <w:pPr>
        <w:pStyle w:val="af"/>
        <w:spacing w:line="360" w:lineRule="auto"/>
        <w:jc w:val="both"/>
        <w:rPr>
          <w:rFonts w:ascii="Times New Roman" w:hAnsi="Times New Roman" w:cs="Times New Roman"/>
          <w:sz w:val="28"/>
          <w:szCs w:val="28"/>
        </w:rPr>
      </w:pPr>
      <w:r w:rsidRPr="00C8452F">
        <w:rPr>
          <w:rFonts w:ascii="Times New Roman" w:hAnsi="Times New Roman" w:cs="Times New Roman"/>
          <w:sz w:val="28"/>
          <w:szCs w:val="28"/>
        </w:rPr>
        <w:lastRenderedPageBreak/>
        <w:t>Динамічне коригування робочої температури серверів залежно від зовнішніх умов. У моменти екстремальної спеки, коли енергетичний бюджет міста виснажений, система може дозволити короткочасне підвищення робочої температури серверів (у межах стандартів ASHRAE A3/A4) для зниження навантаження на систему охолодження, тим самим зменшуючи загальне енергоспоживання об'єкта на 10–12%.</w:t>
      </w:r>
    </w:p>
    <w:p w14:paraId="18016555" w14:textId="3942F74D" w:rsidR="00291D35" w:rsidRDefault="00121F0F" w:rsidP="00107E42">
      <w:pPr>
        <w:pStyle w:val="af"/>
        <w:spacing w:line="360" w:lineRule="auto"/>
        <w:ind w:firstLine="705"/>
        <w:jc w:val="both"/>
        <w:rPr>
          <w:rFonts w:ascii="Times New Roman" w:hAnsi="Times New Roman" w:cs="Times New Roman"/>
          <w:sz w:val="28"/>
          <w:szCs w:val="28"/>
        </w:rPr>
      </w:pPr>
      <w:r w:rsidRPr="00C8452F">
        <w:rPr>
          <w:rFonts w:ascii="Times New Roman" w:hAnsi="Times New Roman" w:cs="Times New Roman"/>
          <w:sz w:val="28"/>
          <w:szCs w:val="28"/>
        </w:rPr>
        <w:t>Екологічний та соціальний ефект:</w:t>
      </w:r>
      <w:r w:rsidR="00107E42">
        <w:rPr>
          <w:rFonts w:ascii="Times New Roman" w:hAnsi="Times New Roman" w:cs="Times New Roman"/>
          <w:sz w:val="28"/>
          <w:szCs w:val="28"/>
        </w:rPr>
        <w:t xml:space="preserve"> </w:t>
      </w:r>
      <w:r w:rsidRPr="00C8452F">
        <w:rPr>
          <w:rFonts w:ascii="Times New Roman" w:hAnsi="Times New Roman" w:cs="Times New Roman"/>
          <w:sz w:val="28"/>
          <w:szCs w:val="28"/>
        </w:rPr>
        <w:t>Зниження вуглецевого сліду: Динамічне навантаження дозволяє дата-центрам споживати енергію тоді, коли в мережі наявна максимальна частка енергії з відновлювальних джерел (наприклад, сонячна генерація вдень або вітрова вночі), що знижує CUE інфраструктури.</w:t>
      </w:r>
      <w:r w:rsidR="00107E42">
        <w:rPr>
          <w:rFonts w:ascii="Times New Roman" w:hAnsi="Times New Roman" w:cs="Times New Roman"/>
          <w:sz w:val="28"/>
          <w:szCs w:val="28"/>
        </w:rPr>
        <w:t xml:space="preserve"> </w:t>
      </w:r>
      <w:r w:rsidRPr="00C8452F">
        <w:rPr>
          <w:rFonts w:ascii="Times New Roman" w:hAnsi="Times New Roman" w:cs="Times New Roman"/>
          <w:sz w:val="28"/>
          <w:szCs w:val="28"/>
        </w:rPr>
        <w:t>Термічна розрядка: Зниження інтенсивності роботи в години пікової спеки безпосередньо мінімізує обсяг скидного тепла у міський простір саме тоді, коли екосистема найбільш вразлива до температурних аномалій.</w:t>
      </w:r>
      <w:r w:rsidR="00107E42">
        <w:rPr>
          <w:rFonts w:ascii="Times New Roman" w:hAnsi="Times New Roman" w:cs="Times New Roman"/>
          <w:sz w:val="28"/>
          <w:szCs w:val="28"/>
        </w:rPr>
        <w:t xml:space="preserve"> </w:t>
      </w:r>
      <w:r w:rsidRPr="00C8452F">
        <w:rPr>
          <w:rFonts w:ascii="Times New Roman" w:hAnsi="Times New Roman" w:cs="Times New Roman"/>
          <w:sz w:val="28"/>
          <w:szCs w:val="28"/>
        </w:rPr>
        <w:t>Інфраструктурна стабільність: Перехід на динамічне навантаження дозволяє уникнути необхідності будівництва нових енергетичних потужностей, що зменшує загальний антропогенний тиск на довкілля від енергетичного сектору.</w:t>
      </w:r>
      <w:r w:rsidR="00291D35">
        <w:rPr>
          <w:rFonts w:ascii="Times New Roman" w:hAnsi="Times New Roman" w:cs="Times New Roman"/>
          <w:sz w:val="28"/>
          <w:szCs w:val="28"/>
        </w:rPr>
        <w:br w:type="page"/>
      </w:r>
    </w:p>
    <w:p w14:paraId="5ECB350C" w14:textId="38C61878" w:rsidR="00097259" w:rsidRDefault="00291D35" w:rsidP="00107E42">
      <w:pPr>
        <w:pStyle w:val="af"/>
        <w:spacing w:line="360" w:lineRule="auto"/>
        <w:ind w:left="705"/>
        <w:jc w:val="both"/>
        <w:rPr>
          <w:rFonts w:ascii="Times New Roman" w:hAnsi="Times New Roman" w:cs="Times New Roman"/>
          <w:b/>
          <w:bCs/>
          <w:sz w:val="28"/>
          <w:szCs w:val="28"/>
        </w:rPr>
      </w:pPr>
      <w:r w:rsidRPr="00320221">
        <w:rPr>
          <w:rFonts w:ascii="Times New Roman" w:hAnsi="Times New Roman" w:cs="Times New Roman"/>
          <w:b/>
          <w:bCs/>
          <w:sz w:val="28"/>
          <w:szCs w:val="28"/>
        </w:rPr>
        <w:lastRenderedPageBreak/>
        <w:t xml:space="preserve">РОЗДІЛ 4. </w:t>
      </w:r>
      <w:r>
        <w:rPr>
          <w:rFonts w:ascii="Times New Roman" w:hAnsi="Times New Roman" w:cs="Times New Roman"/>
          <w:b/>
          <w:bCs/>
          <w:sz w:val="28"/>
          <w:szCs w:val="28"/>
        </w:rPr>
        <w:t>ТЕХНОЛОГІЧНА ОПТИМІЗАЦІЯ: ШЛЯХІ МІНІМІЗАЦІЇ ВПЛИВУ ЦОД НА ДОВКІЛЛЯ</w:t>
      </w:r>
    </w:p>
    <w:p w14:paraId="3A8D8A16" w14:textId="77777777" w:rsidR="00CE4FF5" w:rsidRDefault="00CE4FF5" w:rsidP="005737C8">
      <w:pPr>
        <w:pStyle w:val="af"/>
        <w:spacing w:line="360" w:lineRule="auto"/>
        <w:ind w:left="705"/>
        <w:rPr>
          <w:rFonts w:ascii="Times New Roman" w:hAnsi="Times New Roman" w:cs="Times New Roman"/>
          <w:b/>
          <w:bCs/>
          <w:sz w:val="28"/>
          <w:szCs w:val="28"/>
        </w:rPr>
      </w:pPr>
    </w:p>
    <w:p w14:paraId="1367AF9F" w14:textId="77777777" w:rsidR="00107E42" w:rsidRDefault="00097259" w:rsidP="00107E42">
      <w:pPr>
        <w:pStyle w:val="af"/>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Pr>
          <w:rFonts w:ascii="Times New Roman" w:hAnsi="Times New Roman" w:cs="Times New Roman"/>
          <w:b/>
          <w:bCs/>
          <w:sz w:val="28"/>
          <w:szCs w:val="28"/>
        </w:rPr>
        <w:tab/>
      </w:r>
      <w:r w:rsidR="00580775" w:rsidRPr="00580775">
        <w:rPr>
          <w:rFonts w:ascii="Times New Roman" w:hAnsi="Times New Roman" w:cs="Times New Roman"/>
          <w:b/>
          <w:bCs/>
          <w:sz w:val="28"/>
          <w:szCs w:val="28"/>
        </w:rPr>
        <w:t>4.1 Термічна рекуперація як інструмент перетворення скидного тепла на ресурс та Алгоритми просторової оптимізації для вибору сталих локацій розміщення нових ЦОД</w:t>
      </w:r>
    </w:p>
    <w:p w14:paraId="00624DC2" w14:textId="0D3A5F53" w:rsidR="00CE4FF5" w:rsidRPr="00AF675D" w:rsidRDefault="00097259" w:rsidP="00107E42">
      <w:pPr>
        <w:pStyle w:val="af"/>
        <w:spacing w:line="360" w:lineRule="auto"/>
        <w:ind w:firstLine="708"/>
        <w:jc w:val="both"/>
        <w:rPr>
          <w:rFonts w:ascii="Times New Roman" w:hAnsi="Times New Roman" w:cs="Times New Roman"/>
          <w:sz w:val="28"/>
          <w:szCs w:val="28"/>
        </w:rPr>
      </w:pPr>
      <w:r w:rsidRPr="00097259">
        <w:rPr>
          <w:rFonts w:ascii="Times New Roman" w:hAnsi="Times New Roman" w:cs="Times New Roman"/>
          <w:sz w:val="28"/>
          <w:szCs w:val="28"/>
        </w:rPr>
        <w:t>Функціонування центрів обробки даних (ЦОД) з позицій термодинаміки можна розглядати як процес перетворення високоякісної електричної енергії на низькопотенційну теплову енергію (скидне тепло). З</w:t>
      </w:r>
      <w:r w:rsidR="00566116">
        <w:rPr>
          <w:rFonts w:ascii="Times New Roman" w:hAnsi="Times New Roman" w:cs="Times New Roman"/>
          <w:sz w:val="28"/>
          <w:szCs w:val="28"/>
        </w:rPr>
        <w:t>авдяки</w:t>
      </w:r>
      <w:r w:rsidRPr="00097259">
        <w:rPr>
          <w:rFonts w:ascii="Times New Roman" w:hAnsi="Times New Roman" w:cs="Times New Roman"/>
          <w:sz w:val="28"/>
          <w:szCs w:val="28"/>
        </w:rPr>
        <w:t xml:space="preserve"> друг</w:t>
      </w:r>
      <w:r w:rsidR="00566116">
        <w:rPr>
          <w:rFonts w:ascii="Times New Roman" w:hAnsi="Times New Roman" w:cs="Times New Roman"/>
          <w:sz w:val="28"/>
          <w:szCs w:val="28"/>
        </w:rPr>
        <w:t>ому</w:t>
      </w:r>
      <w:r w:rsidRPr="00097259">
        <w:rPr>
          <w:rFonts w:ascii="Times New Roman" w:hAnsi="Times New Roman" w:cs="Times New Roman"/>
          <w:sz w:val="28"/>
          <w:szCs w:val="28"/>
        </w:rPr>
        <w:t xml:space="preserve"> закон</w:t>
      </w:r>
      <w:r w:rsidR="00566116">
        <w:rPr>
          <w:rFonts w:ascii="Times New Roman" w:hAnsi="Times New Roman" w:cs="Times New Roman"/>
          <w:sz w:val="28"/>
          <w:szCs w:val="28"/>
        </w:rPr>
        <w:t>у</w:t>
      </w:r>
      <w:r w:rsidRPr="00097259">
        <w:rPr>
          <w:rFonts w:ascii="Times New Roman" w:hAnsi="Times New Roman" w:cs="Times New Roman"/>
          <w:sz w:val="28"/>
          <w:szCs w:val="28"/>
        </w:rPr>
        <w:t xml:space="preserve"> термодинаміки, цей процес є незворотним і супроводжується зростанням ентропії </w:t>
      </w:r>
      <w:r w:rsidRPr="00AF675D">
        <w:rPr>
          <w:rFonts w:ascii="Times New Roman" w:hAnsi="Times New Roman" w:cs="Times New Roman"/>
          <w:sz w:val="28"/>
          <w:szCs w:val="28"/>
        </w:rPr>
        <w:t>системи. У контексті енергоефективності ключовим поняттям виступає ексергія — міра якості енергії, що визначає її здатність до виконання корисної роботи.</w:t>
      </w:r>
    </w:p>
    <w:p w14:paraId="7E6EFE63" w14:textId="405BE12A" w:rsidR="00CE4FF5" w:rsidRPr="00AF675D" w:rsidRDefault="00097259"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Скидне тепло дата-центрів, що генерується у температурному діапазоні 30–50°C, належить до категорії низькопотенційних джерел енергії. З точки зору ексергетичного аналізу, це тепло має низький показник ексергетичної ефективності η</w:t>
      </w:r>
      <w:r w:rsidRPr="002F54A4">
        <w:rPr>
          <w:rFonts w:ascii="Times New Roman" w:hAnsi="Times New Roman" w:cs="Times New Roman"/>
          <w:sz w:val="28"/>
          <w:szCs w:val="28"/>
          <w:vertAlign w:val="subscript"/>
        </w:rPr>
        <w:t>e</w:t>
      </w:r>
      <w:r w:rsidRPr="00AF675D">
        <w:rPr>
          <w:rFonts w:ascii="Times New Roman" w:hAnsi="Times New Roman" w:cs="Times New Roman"/>
          <w:sz w:val="28"/>
          <w:szCs w:val="28"/>
        </w:rPr>
        <w:t>x, оскільки його температура є близькою до температури навколишнього середовища. Однак, незважаючи на низьку "якість" енергії, її ентальпійний потенціал (загальний запас теплової енергії) є надзвичайно високим через великі об’єми потоків теплоносія.</w:t>
      </w:r>
    </w:p>
    <w:p w14:paraId="531B1EF3" w14:textId="77777777" w:rsidR="00CE4FF5" w:rsidRPr="00AF675D" w:rsidRDefault="00097259"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Фізичні обмеження використання скидного тепла:</w:t>
      </w:r>
    </w:p>
    <w:p w14:paraId="0333A3BC" w14:textId="51BC9781" w:rsidR="00CE4FF5" w:rsidRPr="00AF675D" w:rsidRDefault="00CE4FF5"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1.</w:t>
      </w:r>
      <w:r w:rsidR="00097259" w:rsidRPr="00AF675D">
        <w:rPr>
          <w:rFonts w:ascii="Times New Roman" w:hAnsi="Times New Roman" w:cs="Times New Roman"/>
          <w:sz w:val="28"/>
          <w:szCs w:val="28"/>
        </w:rPr>
        <w:t xml:space="preserve">Проблема температурного градієнта </w:t>
      </w:r>
      <w:r w:rsidR="00683092" w:rsidRPr="00683092">
        <w:rPr>
          <w:rFonts w:ascii="Times New Roman" w:hAnsi="Times New Roman" w:cs="Times New Roman"/>
          <w:sz w:val="28"/>
          <w:szCs w:val="28"/>
        </w:rPr>
        <w:t>ΔT</w:t>
      </w:r>
      <w:r w:rsidR="00097259" w:rsidRPr="00AF675D">
        <w:rPr>
          <w:rFonts w:ascii="Times New Roman" w:hAnsi="Times New Roman" w:cs="Times New Roman"/>
          <w:sz w:val="28"/>
          <w:szCs w:val="28"/>
        </w:rPr>
        <w:t>: Для ефективної роботи більшості теплообмінних апаратів необхідна достатня різниця температур між джерелом та споживачем. Скидне тепло (30–50°C) вимагає використання теплових насосів для «підвищення» його температурного рівня до робочих показників міських систем централізованого опалення (зазвичай 60–80°C). Це створює додаткові витрати енергії та знижує загальний коефіцієнт перетворення (COP).</w:t>
      </w:r>
    </w:p>
    <w:p w14:paraId="3C167198" w14:textId="77777777" w:rsidR="00CE4FF5" w:rsidRPr="00AF675D" w:rsidRDefault="00CE4FF5"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2.</w:t>
      </w:r>
      <w:r w:rsidR="00097259" w:rsidRPr="00AF675D">
        <w:rPr>
          <w:rFonts w:ascii="Times New Roman" w:hAnsi="Times New Roman" w:cs="Times New Roman"/>
          <w:sz w:val="28"/>
          <w:szCs w:val="28"/>
        </w:rPr>
        <w:t xml:space="preserve">Термічна деградація під час транспортування: Транспортування низькопотенційного тепла на відстані понад 1–2 км супроводжується значними </w:t>
      </w:r>
      <w:r w:rsidR="00097259" w:rsidRPr="00AF675D">
        <w:rPr>
          <w:rFonts w:ascii="Times New Roman" w:hAnsi="Times New Roman" w:cs="Times New Roman"/>
          <w:sz w:val="28"/>
          <w:szCs w:val="28"/>
        </w:rPr>
        <w:lastRenderedPageBreak/>
        <w:t>втратами через теплопровідність і конвекцію, навіть за умови використання сучасних попередньо ізольованих трубопроводів. Згідно із законом Ньютона-Ріхмана, швидкість охолодження теплоносія прямо пропорційна різниці температур між теплоносієм та навколишнім середовищем. Чим нижча температура скидного тепла (наближається до 30°C), тим менший запас "термічної міцності" має теплоносій для успішного транспортування.</w:t>
      </w:r>
    </w:p>
    <w:p w14:paraId="309D636C" w14:textId="4EF2471F" w:rsidR="00097259" w:rsidRPr="00AF675D" w:rsidRDefault="00CE4FF5"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3.</w:t>
      </w:r>
      <w:r w:rsidR="00097259" w:rsidRPr="00AF675D">
        <w:rPr>
          <w:rFonts w:ascii="Times New Roman" w:hAnsi="Times New Roman" w:cs="Times New Roman"/>
          <w:sz w:val="28"/>
          <w:szCs w:val="28"/>
        </w:rPr>
        <w:t>Фізико-хімічна сумісність: Використання скидного тепла вимагає повної гідравлічної та хімічної ізоляції контурів ЦОД від міських теплових мереж. У разі потрапляння реагентів (антикорозійних присадок, біоцидів) із системи охолодження ЦОД у централізовану мережу, існує ризик забруднення та корозії обладнання міських споживачів.</w:t>
      </w:r>
    </w:p>
    <w:p w14:paraId="637D5165" w14:textId="0403136C" w:rsidR="00AF675D" w:rsidRPr="00AF675D" w:rsidRDefault="00AF675D"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Незважаючи на описані вище обмеження, перетворення скидного тепла на ресурс є економічно та екологічно виправданим через концепцію термодинамічного узгодження. Ексергетична помилка сучасної енергетики полягає у використанні високоякісних енергоносіїв (природний газ, електроенергія) для задоволення низькопотенційних потреб (нагрів води до 40–50°C).</w:t>
      </w:r>
    </w:p>
    <w:p w14:paraId="10C54DFB" w14:textId="57B43080" w:rsidR="00AF675D" w:rsidRPr="00AF675D" w:rsidRDefault="00AF675D"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Інтеграція ЦОД у систему міського енергосимбіозу дозволяє усунути цей термодинамічний дисбаланс:</w:t>
      </w:r>
    </w:p>
    <w:p w14:paraId="19C3FC9C" w14:textId="77777777" w:rsidR="00AF675D" w:rsidRPr="00AF675D" w:rsidRDefault="00AF675D"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Скидне тепло (30–50°C) стає ідеальним вхідним ресурсом для підігріву води в системах гарячого водопостачання (ГВП) або для систем підлогового опалення (тепла підлога), де високі температури теплоносія є надлишковими.</w:t>
      </w:r>
    </w:p>
    <w:p w14:paraId="086854B9" w14:textId="77777777" w:rsidR="00AF675D" w:rsidRPr="00AF675D" w:rsidRDefault="00AF675D"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Використання теплових насосів як "трансформаторів якості" енергії дозволяє перетворити великий об'єм низькоякісного тепла (ЦОД) на менший об'єм високоякісного тепла (міська мережа), що значно ефективніше, ніж спалювання викопного палива.</w:t>
      </w:r>
    </w:p>
    <w:p w14:paraId="2E3E06A0" w14:textId="6F571F6A" w:rsidR="00AF675D" w:rsidRPr="00F87E6A" w:rsidRDefault="00AF675D" w:rsidP="00107E42">
      <w:pPr>
        <w:pStyle w:val="af"/>
        <w:spacing w:line="360" w:lineRule="auto"/>
        <w:ind w:firstLine="708"/>
        <w:jc w:val="both"/>
        <w:rPr>
          <w:rFonts w:ascii="Times New Roman" w:hAnsi="Times New Roman" w:cs="Times New Roman"/>
          <w:sz w:val="28"/>
          <w:szCs w:val="28"/>
        </w:rPr>
      </w:pPr>
      <w:r w:rsidRPr="00AF675D">
        <w:rPr>
          <w:rFonts w:ascii="Times New Roman" w:hAnsi="Times New Roman" w:cs="Times New Roman"/>
          <w:sz w:val="28"/>
          <w:szCs w:val="28"/>
        </w:rPr>
        <w:t>Таким чином, "фізичні обмеження" перетворюються на "інженерні виклики". Ефективна термічна рекуперація вимагає не просто встановлення теплообмінника, а комплексного проєктування енергоінфраструктури, де дата-</w:t>
      </w:r>
      <w:r w:rsidRPr="00AF675D">
        <w:rPr>
          <w:rFonts w:ascii="Times New Roman" w:hAnsi="Times New Roman" w:cs="Times New Roman"/>
          <w:sz w:val="28"/>
          <w:szCs w:val="28"/>
        </w:rPr>
        <w:lastRenderedPageBreak/>
        <w:t>центр виступає не як автономний "тепловий агресор", а як компонент міської енергетичної мережі, що працює за принципом ексергетичної оптимізації.</w:t>
      </w:r>
    </w:p>
    <w:p w14:paraId="6E9CC2AE" w14:textId="77777777" w:rsidR="00107E42" w:rsidRDefault="00722620" w:rsidP="00107E42">
      <w:pPr>
        <w:pStyle w:val="af"/>
        <w:spacing w:line="360" w:lineRule="auto"/>
        <w:ind w:firstLine="708"/>
        <w:jc w:val="both"/>
        <w:rPr>
          <w:rFonts w:ascii="Times New Roman" w:hAnsi="Times New Roman" w:cs="Times New Roman"/>
          <w:sz w:val="28"/>
          <w:szCs w:val="28"/>
        </w:rPr>
      </w:pPr>
      <w:r w:rsidRPr="00722620">
        <w:rPr>
          <w:rFonts w:ascii="Times New Roman" w:hAnsi="Times New Roman" w:cs="Times New Roman"/>
          <w:sz w:val="28"/>
          <w:szCs w:val="28"/>
        </w:rPr>
        <w:t>Ефективність рекуперації скидного тепла (Waste Heat Recovery, WHR) у центрах обробки даних (ЦОД) прямо залежить від архітектури контурів охолодження. Фізичне середовище (носій), що транспортує тепло від кристала процесора до зовнішнього контуру, визначає рівень його ексергії та, як наслідок, можливість подальшого використання.</w:t>
      </w:r>
    </w:p>
    <w:p w14:paraId="5CAD7666" w14:textId="0E3DA983" w:rsidR="00722620" w:rsidRPr="00F87E6A" w:rsidRDefault="00722620" w:rsidP="00107E42">
      <w:pPr>
        <w:pStyle w:val="af"/>
        <w:spacing w:line="360" w:lineRule="auto"/>
        <w:ind w:firstLine="708"/>
        <w:jc w:val="both"/>
        <w:rPr>
          <w:rFonts w:ascii="Times New Roman" w:hAnsi="Times New Roman" w:cs="Times New Roman"/>
          <w:sz w:val="28"/>
          <w:szCs w:val="28"/>
        </w:rPr>
      </w:pPr>
      <w:r w:rsidRPr="00722620">
        <w:rPr>
          <w:rFonts w:ascii="Times New Roman" w:hAnsi="Times New Roman" w:cs="Times New Roman"/>
          <w:sz w:val="28"/>
          <w:szCs w:val="28"/>
        </w:rPr>
        <w:t xml:space="preserve">1. Повітряні контури </w:t>
      </w:r>
    </w:p>
    <w:p w14:paraId="1DC58531" w14:textId="77777777" w:rsidR="00D079B1" w:rsidRDefault="00722620" w:rsidP="00107E42">
      <w:pPr>
        <w:pStyle w:val="af"/>
        <w:spacing w:line="360" w:lineRule="auto"/>
        <w:ind w:firstLine="708"/>
        <w:jc w:val="both"/>
        <w:rPr>
          <w:rFonts w:ascii="Times New Roman" w:hAnsi="Times New Roman" w:cs="Times New Roman"/>
          <w:sz w:val="28"/>
          <w:szCs w:val="28"/>
        </w:rPr>
      </w:pPr>
      <w:r w:rsidRPr="00722620">
        <w:rPr>
          <w:rFonts w:ascii="Times New Roman" w:hAnsi="Times New Roman" w:cs="Times New Roman"/>
          <w:sz w:val="28"/>
          <w:szCs w:val="28"/>
        </w:rPr>
        <w:t>Це т</w:t>
      </w:r>
      <w:r w:rsidRPr="009D4879">
        <w:rPr>
          <w:rFonts w:ascii="Times New Roman" w:hAnsi="Times New Roman" w:cs="Times New Roman"/>
          <w:sz w:val="28"/>
          <w:szCs w:val="28"/>
        </w:rPr>
        <w:t>радиційна архітектура охолодження (CRAH/CRAC), де повітря використовується як проміжний теплоносій між нагрітими компонентами (CPU/GPU) та теплообмінником.</w:t>
      </w:r>
    </w:p>
    <w:p w14:paraId="6B15B4FD" w14:textId="77777777" w:rsidR="009E29C1"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t xml:space="preserve">Фізичні обмеження: Повітря має низьку теплоємність </w:t>
      </w:r>
      <w:r w:rsidR="009E29C1">
        <w:rPr>
          <w:rFonts w:ascii="Times New Roman" w:hAnsi="Times New Roman" w:cs="Times New Roman"/>
          <w:sz w:val="28"/>
          <w:szCs w:val="28"/>
        </w:rPr>
        <w:t>приблизно</w:t>
      </w:r>
      <w:r w:rsidRPr="009D4879">
        <w:rPr>
          <w:rFonts w:ascii="Times New Roman" w:hAnsi="Times New Roman" w:cs="Times New Roman"/>
          <w:sz w:val="28"/>
          <w:szCs w:val="28"/>
        </w:rPr>
        <w:t xml:space="preserve"> 1,006 кДж/кг·К та низьку щільність. Для відведення великих обсягів тепла потрібні величезні масові витрати повітря, що супроводжуються високим рівнем турбулентності.</w:t>
      </w:r>
    </w:p>
    <w:p w14:paraId="21246C90" w14:textId="6B4205DB" w:rsidR="009E29C1"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t>Температурні параметри: Повітря, що виходить із серверної стійки, має температуру в діапазоні 30–45°C.</w:t>
      </w:r>
    </w:p>
    <w:p w14:paraId="3AE7540B" w14:textId="7B059B51" w:rsidR="00722620" w:rsidRPr="009D4879"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t>Придатність для рекуперації: Низька. Через низьку щільність енергії, передача цього тепла до міських тепломереж потребує масштабних теплообмінників та додаткових енерговитрат на перекачування повітря. Використання теплових насосів для «підняття» температури повітря до робочих параметрів опалення (60–70°C) є енергетично неефективним.</w:t>
      </w:r>
    </w:p>
    <w:p w14:paraId="475823CC" w14:textId="13E80D20" w:rsidR="00722620" w:rsidRPr="00F87E6A" w:rsidRDefault="00107E42" w:rsidP="00107E42">
      <w:pPr>
        <w:pStyle w:val="af"/>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00722620" w:rsidRPr="009D4879">
        <w:rPr>
          <w:rFonts w:ascii="Times New Roman" w:hAnsi="Times New Roman" w:cs="Times New Roman"/>
          <w:sz w:val="28"/>
          <w:szCs w:val="28"/>
        </w:rPr>
        <w:t>Рідинні контури</w:t>
      </w:r>
    </w:p>
    <w:p w14:paraId="2A5C518A" w14:textId="6ACDC7BF" w:rsidR="00B217DC"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t>Це технологія майбутнього, що передбачає прямий контакт теплоносія (вода або діелектрик) з нагрітими компонентами або повне занурення.</w:t>
      </w:r>
    </w:p>
    <w:p w14:paraId="2D8D505D" w14:textId="77777777" w:rsidR="00B217DC"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t>Фізичні переваги: Вода має у ~4000 разів вищу об’ємну теплоємність, ніж повітря. Це дозволяє здійснювати "коротке замикання" передачі тепла: від джерела (чипа) до рідини, оминаючи стадію повітряного середовища.</w:t>
      </w:r>
    </w:p>
    <w:p w14:paraId="2E0A37A5" w14:textId="1DC130E0" w:rsidR="00B217DC"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lastRenderedPageBreak/>
        <w:t>Температурні параметри: Рідинні системи дозволяють підтримувати вищі робочі температури без ризику перегріву компонентів. Вихідний потік рідини може досягати 50–65°C.</w:t>
      </w:r>
    </w:p>
    <w:p w14:paraId="22210810" w14:textId="67531C05" w:rsidR="00722620" w:rsidRDefault="00722620" w:rsidP="00107E42">
      <w:pPr>
        <w:pStyle w:val="af"/>
        <w:spacing w:line="360" w:lineRule="auto"/>
        <w:ind w:firstLine="708"/>
        <w:jc w:val="both"/>
        <w:rPr>
          <w:rFonts w:ascii="Times New Roman" w:hAnsi="Times New Roman" w:cs="Times New Roman"/>
          <w:sz w:val="28"/>
          <w:szCs w:val="28"/>
        </w:rPr>
      </w:pPr>
      <w:r w:rsidRPr="009D4879">
        <w:rPr>
          <w:rFonts w:ascii="Times New Roman" w:hAnsi="Times New Roman" w:cs="Times New Roman"/>
          <w:sz w:val="28"/>
          <w:szCs w:val="28"/>
        </w:rPr>
        <w:t>Придатність для рекуперації: Висока. Температура 55–60°C є достатньою для прямої інтеграції в міські системи ГВП (гарячого водопостачання) або низькотемпературного опалення будівель без застосування енергоємних теплових насосів</w:t>
      </w:r>
      <w:r w:rsidR="00107E42">
        <w:rPr>
          <w:rFonts w:ascii="Times New Roman" w:hAnsi="Times New Roman" w:cs="Times New Roman"/>
          <w:sz w:val="28"/>
          <w:szCs w:val="28"/>
        </w:rPr>
        <w:t>.</w:t>
      </w:r>
    </w:p>
    <w:p w14:paraId="7A66CE92" w14:textId="550FA050" w:rsidR="00107E42" w:rsidRPr="009D4879" w:rsidRDefault="00107E42" w:rsidP="00107E42">
      <w:pPr>
        <w:pStyle w:val="af"/>
        <w:spacing w:line="360" w:lineRule="auto"/>
        <w:ind w:firstLine="708"/>
        <w:jc w:val="both"/>
        <w:rPr>
          <w:rFonts w:ascii="Times New Roman" w:hAnsi="Times New Roman" w:cs="Times New Roman"/>
          <w:sz w:val="28"/>
          <w:szCs w:val="28"/>
        </w:rPr>
      </w:pPr>
      <w:r w:rsidRPr="00BC5C5D">
        <w:rPr>
          <w:rFonts w:ascii="Times New Roman" w:hAnsi="Times New Roman" w:cs="Times New Roman"/>
          <w:sz w:val="28"/>
          <w:szCs w:val="28"/>
        </w:rPr>
        <w:t>Таблиця 4.1. Порівняльний аналіз контурів охолодження за потенціалом рекуперації</w:t>
      </w:r>
    </w:p>
    <w:tbl>
      <w:tblPr>
        <w:tblStyle w:val="af0"/>
        <w:tblW w:w="0" w:type="auto"/>
        <w:tblLook w:val="04A0" w:firstRow="1" w:lastRow="0" w:firstColumn="1" w:lastColumn="0" w:noHBand="0" w:noVBand="1"/>
      </w:tblPr>
      <w:tblGrid>
        <w:gridCol w:w="3209"/>
        <w:gridCol w:w="3210"/>
        <w:gridCol w:w="3210"/>
      </w:tblGrid>
      <w:tr w:rsidR="009D4879" w14:paraId="27F6D739" w14:textId="77777777" w:rsidTr="009D4879">
        <w:tc>
          <w:tcPr>
            <w:tcW w:w="3209" w:type="dxa"/>
          </w:tcPr>
          <w:p w14:paraId="5E1A9286" w14:textId="05E9CF82" w:rsidR="009D4879" w:rsidRDefault="00866C1D" w:rsidP="00AF675D">
            <w:pPr>
              <w:pStyle w:val="af"/>
              <w:spacing w:line="360" w:lineRule="auto"/>
              <w:rPr>
                <w:rFonts w:ascii="Times New Roman" w:hAnsi="Times New Roman" w:cs="Times New Roman"/>
                <w:sz w:val="28"/>
                <w:szCs w:val="28"/>
              </w:rPr>
            </w:pPr>
            <w:r w:rsidRPr="00866C1D">
              <w:rPr>
                <w:rFonts w:ascii="Times New Roman" w:hAnsi="Times New Roman" w:cs="Times New Roman"/>
                <w:sz w:val="28"/>
                <w:szCs w:val="28"/>
              </w:rPr>
              <w:t>Характеристика</w:t>
            </w:r>
          </w:p>
        </w:tc>
        <w:tc>
          <w:tcPr>
            <w:tcW w:w="3210" w:type="dxa"/>
          </w:tcPr>
          <w:p w14:paraId="3C74160A" w14:textId="446E3B8A" w:rsidR="009D4879" w:rsidRDefault="00866C1D" w:rsidP="00AF675D">
            <w:pPr>
              <w:pStyle w:val="af"/>
              <w:spacing w:line="360" w:lineRule="auto"/>
              <w:rPr>
                <w:rFonts w:ascii="Times New Roman" w:hAnsi="Times New Roman" w:cs="Times New Roman"/>
                <w:sz w:val="28"/>
                <w:szCs w:val="28"/>
              </w:rPr>
            </w:pPr>
            <w:r w:rsidRPr="00866C1D">
              <w:rPr>
                <w:rFonts w:ascii="Times New Roman" w:hAnsi="Times New Roman" w:cs="Times New Roman"/>
                <w:sz w:val="28"/>
                <w:szCs w:val="28"/>
              </w:rPr>
              <w:t>Повітряні контури (Air-based)</w:t>
            </w:r>
          </w:p>
        </w:tc>
        <w:tc>
          <w:tcPr>
            <w:tcW w:w="3210" w:type="dxa"/>
          </w:tcPr>
          <w:p w14:paraId="4C7E6509" w14:textId="6D351633" w:rsidR="009D4879" w:rsidRDefault="00866C1D" w:rsidP="00AF675D">
            <w:pPr>
              <w:pStyle w:val="af"/>
              <w:spacing w:line="360" w:lineRule="auto"/>
              <w:rPr>
                <w:rFonts w:ascii="Times New Roman" w:hAnsi="Times New Roman" w:cs="Times New Roman"/>
                <w:sz w:val="28"/>
                <w:szCs w:val="28"/>
              </w:rPr>
            </w:pPr>
            <w:r w:rsidRPr="00866C1D">
              <w:rPr>
                <w:rFonts w:ascii="Times New Roman" w:hAnsi="Times New Roman" w:cs="Times New Roman"/>
                <w:sz w:val="28"/>
                <w:szCs w:val="28"/>
              </w:rPr>
              <w:t>Рідинні контури (Liquid-based)</w:t>
            </w:r>
          </w:p>
        </w:tc>
      </w:tr>
      <w:tr w:rsidR="009D4879" w14:paraId="541B1A17" w14:textId="77777777" w:rsidTr="009D4879">
        <w:tc>
          <w:tcPr>
            <w:tcW w:w="3209" w:type="dxa"/>
          </w:tcPr>
          <w:p w14:paraId="43AB6E16" w14:textId="6B9F1751" w:rsidR="009D4879" w:rsidRDefault="00F5620D" w:rsidP="00AF675D">
            <w:pPr>
              <w:pStyle w:val="af"/>
              <w:spacing w:line="360" w:lineRule="auto"/>
              <w:rPr>
                <w:rFonts w:ascii="Times New Roman" w:hAnsi="Times New Roman" w:cs="Times New Roman"/>
                <w:sz w:val="28"/>
                <w:szCs w:val="28"/>
              </w:rPr>
            </w:pPr>
            <w:r w:rsidRPr="00F5620D">
              <w:rPr>
                <w:rFonts w:ascii="Times New Roman" w:hAnsi="Times New Roman" w:cs="Times New Roman"/>
                <w:b/>
                <w:bCs/>
                <w:sz w:val="28"/>
                <w:szCs w:val="28"/>
              </w:rPr>
              <w:t>Енергоємність охолодження</w:t>
            </w:r>
          </w:p>
        </w:tc>
        <w:tc>
          <w:tcPr>
            <w:tcW w:w="3210" w:type="dxa"/>
          </w:tcPr>
          <w:p w14:paraId="22AB2DAB" w14:textId="5E282688" w:rsidR="009D4879" w:rsidRDefault="00981497" w:rsidP="00AF675D">
            <w:pPr>
              <w:pStyle w:val="af"/>
              <w:spacing w:line="360" w:lineRule="auto"/>
              <w:rPr>
                <w:rFonts w:ascii="Times New Roman" w:hAnsi="Times New Roman" w:cs="Times New Roman"/>
                <w:sz w:val="28"/>
                <w:szCs w:val="28"/>
              </w:rPr>
            </w:pPr>
            <w:r w:rsidRPr="00981497">
              <w:rPr>
                <w:rFonts w:ascii="Times New Roman" w:hAnsi="Times New Roman" w:cs="Times New Roman"/>
                <w:sz w:val="28"/>
                <w:szCs w:val="28"/>
              </w:rPr>
              <w:t>Висока (вентилятори)</w:t>
            </w:r>
          </w:p>
        </w:tc>
        <w:tc>
          <w:tcPr>
            <w:tcW w:w="3210" w:type="dxa"/>
          </w:tcPr>
          <w:p w14:paraId="1C03AD46" w14:textId="2A15FFD4" w:rsidR="009D4879" w:rsidRDefault="00085AF7" w:rsidP="00AF675D">
            <w:pPr>
              <w:pStyle w:val="af"/>
              <w:spacing w:line="360" w:lineRule="auto"/>
              <w:rPr>
                <w:rFonts w:ascii="Times New Roman" w:hAnsi="Times New Roman" w:cs="Times New Roman"/>
                <w:sz w:val="28"/>
                <w:szCs w:val="28"/>
              </w:rPr>
            </w:pPr>
            <w:r w:rsidRPr="00085AF7">
              <w:rPr>
                <w:rFonts w:ascii="Times New Roman" w:hAnsi="Times New Roman" w:cs="Times New Roman"/>
                <w:sz w:val="28"/>
                <w:szCs w:val="28"/>
              </w:rPr>
              <w:t>Низька (насоси)</w:t>
            </w:r>
          </w:p>
        </w:tc>
      </w:tr>
      <w:tr w:rsidR="009D4879" w14:paraId="341974CF" w14:textId="77777777" w:rsidTr="009D4879">
        <w:tc>
          <w:tcPr>
            <w:tcW w:w="3209" w:type="dxa"/>
          </w:tcPr>
          <w:p w14:paraId="2EC4BF05" w14:textId="3F1457FA" w:rsidR="009D4879" w:rsidRDefault="00F5620D" w:rsidP="00AF675D">
            <w:pPr>
              <w:pStyle w:val="af"/>
              <w:spacing w:line="360" w:lineRule="auto"/>
              <w:rPr>
                <w:rFonts w:ascii="Times New Roman" w:hAnsi="Times New Roman" w:cs="Times New Roman"/>
                <w:sz w:val="28"/>
                <w:szCs w:val="28"/>
              </w:rPr>
            </w:pPr>
            <w:r w:rsidRPr="00F5620D">
              <w:rPr>
                <w:rFonts w:ascii="Times New Roman" w:hAnsi="Times New Roman" w:cs="Times New Roman"/>
                <w:b/>
                <w:bCs/>
                <w:sz w:val="28"/>
                <w:szCs w:val="28"/>
              </w:rPr>
              <w:t>Температура скидного тепла</w:t>
            </w:r>
          </w:p>
        </w:tc>
        <w:tc>
          <w:tcPr>
            <w:tcW w:w="3210" w:type="dxa"/>
          </w:tcPr>
          <w:p w14:paraId="4CE0F46A" w14:textId="479ABEED" w:rsidR="009D4879" w:rsidRDefault="00981497" w:rsidP="00AF675D">
            <w:pPr>
              <w:pStyle w:val="af"/>
              <w:spacing w:line="360" w:lineRule="auto"/>
              <w:rPr>
                <w:rFonts w:ascii="Times New Roman" w:hAnsi="Times New Roman" w:cs="Times New Roman"/>
                <w:sz w:val="28"/>
                <w:szCs w:val="28"/>
              </w:rPr>
            </w:pPr>
            <w:r w:rsidRPr="00981497">
              <w:rPr>
                <w:rFonts w:ascii="Times New Roman" w:hAnsi="Times New Roman" w:cs="Times New Roman"/>
                <w:sz w:val="28"/>
                <w:szCs w:val="28"/>
              </w:rPr>
              <w:t>30–45°C</w:t>
            </w:r>
          </w:p>
        </w:tc>
        <w:tc>
          <w:tcPr>
            <w:tcW w:w="3210" w:type="dxa"/>
          </w:tcPr>
          <w:p w14:paraId="6D0D58ED" w14:textId="72BC759C" w:rsidR="009D4879" w:rsidRDefault="00981497" w:rsidP="00AF675D">
            <w:pPr>
              <w:pStyle w:val="af"/>
              <w:spacing w:line="360" w:lineRule="auto"/>
              <w:rPr>
                <w:rFonts w:ascii="Times New Roman" w:hAnsi="Times New Roman" w:cs="Times New Roman"/>
                <w:sz w:val="28"/>
                <w:szCs w:val="28"/>
              </w:rPr>
            </w:pPr>
            <w:r w:rsidRPr="00981497">
              <w:rPr>
                <w:rFonts w:ascii="Times New Roman" w:hAnsi="Times New Roman" w:cs="Times New Roman"/>
                <w:sz w:val="28"/>
                <w:szCs w:val="28"/>
              </w:rPr>
              <w:t>50–65°C</w:t>
            </w:r>
          </w:p>
        </w:tc>
      </w:tr>
      <w:tr w:rsidR="009D4879" w14:paraId="3EBDF3DD" w14:textId="77777777" w:rsidTr="009D4879">
        <w:tc>
          <w:tcPr>
            <w:tcW w:w="3209" w:type="dxa"/>
          </w:tcPr>
          <w:p w14:paraId="4FA2F4A7" w14:textId="0B80DD3A" w:rsidR="009D4879" w:rsidRDefault="00F5620D" w:rsidP="00AF675D">
            <w:pPr>
              <w:pStyle w:val="af"/>
              <w:spacing w:line="360" w:lineRule="auto"/>
              <w:rPr>
                <w:rFonts w:ascii="Times New Roman" w:hAnsi="Times New Roman" w:cs="Times New Roman"/>
                <w:sz w:val="28"/>
                <w:szCs w:val="28"/>
              </w:rPr>
            </w:pPr>
            <w:r w:rsidRPr="00F5620D">
              <w:rPr>
                <w:rFonts w:ascii="Times New Roman" w:hAnsi="Times New Roman" w:cs="Times New Roman"/>
                <w:b/>
                <w:bCs/>
                <w:sz w:val="28"/>
                <w:szCs w:val="28"/>
              </w:rPr>
              <w:t>Ексергетичний потенціал</w:t>
            </w:r>
          </w:p>
        </w:tc>
        <w:tc>
          <w:tcPr>
            <w:tcW w:w="3210" w:type="dxa"/>
          </w:tcPr>
          <w:p w14:paraId="39908123" w14:textId="29F0BE7C" w:rsidR="009D4879" w:rsidRDefault="00981497" w:rsidP="00AF675D">
            <w:pPr>
              <w:pStyle w:val="af"/>
              <w:spacing w:line="360" w:lineRule="auto"/>
              <w:rPr>
                <w:rFonts w:ascii="Times New Roman" w:hAnsi="Times New Roman" w:cs="Times New Roman"/>
                <w:sz w:val="28"/>
                <w:szCs w:val="28"/>
              </w:rPr>
            </w:pPr>
            <w:r w:rsidRPr="00981497">
              <w:rPr>
                <w:rFonts w:ascii="Times New Roman" w:hAnsi="Times New Roman" w:cs="Times New Roman"/>
                <w:sz w:val="28"/>
                <w:szCs w:val="28"/>
              </w:rPr>
              <w:t>Низький</w:t>
            </w:r>
          </w:p>
        </w:tc>
        <w:tc>
          <w:tcPr>
            <w:tcW w:w="3210" w:type="dxa"/>
          </w:tcPr>
          <w:p w14:paraId="77B6E6B7" w14:textId="4EE8240B" w:rsidR="009D4879" w:rsidRDefault="00321683" w:rsidP="00AF675D">
            <w:pPr>
              <w:pStyle w:val="af"/>
              <w:spacing w:line="360" w:lineRule="auto"/>
              <w:rPr>
                <w:rFonts w:ascii="Times New Roman" w:hAnsi="Times New Roman" w:cs="Times New Roman"/>
                <w:sz w:val="28"/>
                <w:szCs w:val="28"/>
              </w:rPr>
            </w:pPr>
            <w:r w:rsidRPr="00321683">
              <w:rPr>
                <w:rFonts w:ascii="Times New Roman" w:hAnsi="Times New Roman" w:cs="Times New Roman"/>
                <w:sz w:val="28"/>
                <w:szCs w:val="28"/>
              </w:rPr>
              <w:t>Високий</w:t>
            </w:r>
          </w:p>
        </w:tc>
      </w:tr>
      <w:tr w:rsidR="009D4879" w14:paraId="037DD1FF" w14:textId="77777777" w:rsidTr="009D4879">
        <w:tc>
          <w:tcPr>
            <w:tcW w:w="3209" w:type="dxa"/>
          </w:tcPr>
          <w:p w14:paraId="18414904" w14:textId="28E86FDD" w:rsidR="009D4879" w:rsidRDefault="00F5620D" w:rsidP="00AF675D">
            <w:pPr>
              <w:pStyle w:val="af"/>
              <w:spacing w:line="360" w:lineRule="auto"/>
              <w:rPr>
                <w:rFonts w:ascii="Times New Roman" w:hAnsi="Times New Roman" w:cs="Times New Roman"/>
                <w:sz w:val="28"/>
                <w:szCs w:val="28"/>
              </w:rPr>
            </w:pPr>
            <w:r w:rsidRPr="00F5620D">
              <w:rPr>
                <w:rFonts w:ascii="Times New Roman" w:hAnsi="Times New Roman" w:cs="Times New Roman"/>
                <w:b/>
                <w:bCs/>
                <w:sz w:val="28"/>
                <w:szCs w:val="28"/>
              </w:rPr>
              <w:t>Коефіцієнт теплопередачі</w:t>
            </w:r>
          </w:p>
        </w:tc>
        <w:tc>
          <w:tcPr>
            <w:tcW w:w="3210" w:type="dxa"/>
          </w:tcPr>
          <w:p w14:paraId="1B9AEF3A" w14:textId="1A63785C" w:rsidR="009D4879" w:rsidRDefault="00321683" w:rsidP="00AF675D">
            <w:pPr>
              <w:pStyle w:val="af"/>
              <w:spacing w:line="360" w:lineRule="auto"/>
              <w:rPr>
                <w:rFonts w:ascii="Times New Roman" w:hAnsi="Times New Roman" w:cs="Times New Roman"/>
                <w:sz w:val="28"/>
                <w:szCs w:val="28"/>
              </w:rPr>
            </w:pPr>
            <w:r w:rsidRPr="00321683">
              <w:rPr>
                <w:rFonts w:ascii="Times New Roman" w:hAnsi="Times New Roman" w:cs="Times New Roman"/>
                <w:sz w:val="28"/>
                <w:szCs w:val="28"/>
              </w:rPr>
              <w:t>Низький (конвекція повітря)</w:t>
            </w:r>
          </w:p>
        </w:tc>
        <w:tc>
          <w:tcPr>
            <w:tcW w:w="3210" w:type="dxa"/>
          </w:tcPr>
          <w:p w14:paraId="21D85692" w14:textId="434A8FAC" w:rsidR="009D4879" w:rsidRDefault="00321683" w:rsidP="00AF675D">
            <w:pPr>
              <w:pStyle w:val="af"/>
              <w:spacing w:line="360" w:lineRule="auto"/>
              <w:rPr>
                <w:rFonts w:ascii="Times New Roman" w:hAnsi="Times New Roman" w:cs="Times New Roman"/>
                <w:sz w:val="28"/>
                <w:szCs w:val="28"/>
              </w:rPr>
            </w:pPr>
            <w:r w:rsidRPr="00321683">
              <w:rPr>
                <w:rFonts w:ascii="Times New Roman" w:hAnsi="Times New Roman" w:cs="Times New Roman"/>
                <w:sz w:val="28"/>
                <w:szCs w:val="28"/>
              </w:rPr>
              <w:t>Високий (теплопровідність рідини)</w:t>
            </w:r>
          </w:p>
        </w:tc>
      </w:tr>
      <w:tr w:rsidR="009D4879" w14:paraId="5DDA64E1" w14:textId="77777777" w:rsidTr="009D4879">
        <w:tc>
          <w:tcPr>
            <w:tcW w:w="3209" w:type="dxa"/>
          </w:tcPr>
          <w:p w14:paraId="0CEDC489" w14:textId="7CC43F0B" w:rsidR="009D4879" w:rsidRDefault="00635995" w:rsidP="00AF675D">
            <w:pPr>
              <w:pStyle w:val="af"/>
              <w:spacing w:line="360" w:lineRule="auto"/>
              <w:rPr>
                <w:rFonts w:ascii="Times New Roman" w:hAnsi="Times New Roman" w:cs="Times New Roman"/>
                <w:sz w:val="28"/>
                <w:szCs w:val="28"/>
              </w:rPr>
            </w:pPr>
            <w:r w:rsidRPr="00635995">
              <w:rPr>
                <w:rFonts w:ascii="Times New Roman" w:hAnsi="Times New Roman" w:cs="Times New Roman"/>
                <w:b/>
                <w:bCs/>
                <w:sz w:val="28"/>
                <w:szCs w:val="28"/>
              </w:rPr>
              <w:t>Придатність для тепломереж</w:t>
            </w:r>
          </w:p>
        </w:tc>
        <w:tc>
          <w:tcPr>
            <w:tcW w:w="3210" w:type="dxa"/>
          </w:tcPr>
          <w:p w14:paraId="18996548" w14:textId="7B42CD59" w:rsidR="009D4879" w:rsidRDefault="00321683" w:rsidP="00AF675D">
            <w:pPr>
              <w:pStyle w:val="af"/>
              <w:spacing w:line="360" w:lineRule="auto"/>
              <w:rPr>
                <w:rFonts w:ascii="Times New Roman" w:hAnsi="Times New Roman" w:cs="Times New Roman"/>
                <w:sz w:val="28"/>
                <w:szCs w:val="28"/>
              </w:rPr>
            </w:pPr>
            <w:r w:rsidRPr="00321683">
              <w:rPr>
                <w:rFonts w:ascii="Times New Roman" w:hAnsi="Times New Roman" w:cs="Times New Roman"/>
                <w:sz w:val="28"/>
                <w:szCs w:val="28"/>
              </w:rPr>
              <w:t>Потребує теплових насосів</w:t>
            </w:r>
          </w:p>
        </w:tc>
        <w:tc>
          <w:tcPr>
            <w:tcW w:w="3210" w:type="dxa"/>
          </w:tcPr>
          <w:p w14:paraId="4FCF46C2" w14:textId="5A1954EC" w:rsidR="009D4879" w:rsidRDefault="00321683" w:rsidP="00AF675D">
            <w:pPr>
              <w:pStyle w:val="af"/>
              <w:spacing w:line="360" w:lineRule="auto"/>
              <w:rPr>
                <w:rFonts w:ascii="Times New Roman" w:hAnsi="Times New Roman" w:cs="Times New Roman"/>
                <w:sz w:val="28"/>
                <w:szCs w:val="28"/>
              </w:rPr>
            </w:pPr>
            <w:r w:rsidRPr="00321683">
              <w:rPr>
                <w:rFonts w:ascii="Times New Roman" w:hAnsi="Times New Roman" w:cs="Times New Roman"/>
                <w:sz w:val="28"/>
                <w:szCs w:val="28"/>
              </w:rPr>
              <w:t>Можлива пряма інтеграція</w:t>
            </w:r>
          </w:p>
        </w:tc>
      </w:tr>
      <w:tr w:rsidR="009D4879" w14:paraId="5D589069" w14:textId="77777777" w:rsidTr="009D4879">
        <w:tc>
          <w:tcPr>
            <w:tcW w:w="3209" w:type="dxa"/>
          </w:tcPr>
          <w:p w14:paraId="0CC6ADB5" w14:textId="1957F2BB" w:rsidR="009D4879" w:rsidRDefault="00635995" w:rsidP="00AF675D">
            <w:pPr>
              <w:pStyle w:val="af"/>
              <w:spacing w:line="360" w:lineRule="auto"/>
              <w:rPr>
                <w:rFonts w:ascii="Times New Roman" w:hAnsi="Times New Roman" w:cs="Times New Roman"/>
                <w:sz w:val="28"/>
                <w:szCs w:val="28"/>
              </w:rPr>
            </w:pPr>
            <w:r w:rsidRPr="00635995">
              <w:rPr>
                <w:rFonts w:ascii="Times New Roman" w:hAnsi="Times New Roman" w:cs="Times New Roman"/>
                <w:b/>
                <w:bCs/>
                <w:sz w:val="28"/>
                <w:szCs w:val="28"/>
              </w:rPr>
              <w:t>Складність інженерії</w:t>
            </w:r>
          </w:p>
        </w:tc>
        <w:tc>
          <w:tcPr>
            <w:tcW w:w="3210" w:type="dxa"/>
          </w:tcPr>
          <w:p w14:paraId="3D02A27D" w14:textId="6FEE7BCD" w:rsidR="009D4879" w:rsidRDefault="00635995" w:rsidP="00AF675D">
            <w:pPr>
              <w:pStyle w:val="af"/>
              <w:spacing w:line="360" w:lineRule="auto"/>
              <w:rPr>
                <w:rFonts w:ascii="Times New Roman" w:hAnsi="Times New Roman" w:cs="Times New Roman"/>
                <w:sz w:val="28"/>
                <w:szCs w:val="28"/>
              </w:rPr>
            </w:pPr>
            <w:r w:rsidRPr="00635995">
              <w:rPr>
                <w:rFonts w:ascii="Times New Roman" w:hAnsi="Times New Roman" w:cs="Times New Roman"/>
                <w:sz w:val="28"/>
                <w:szCs w:val="28"/>
              </w:rPr>
              <w:t>Низька (стандартизовано)</w:t>
            </w:r>
          </w:p>
        </w:tc>
        <w:tc>
          <w:tcPr>
            <w:tcW w:w="3210" w:type="dxa"/>
          </w:tcPr>
          <w:p w14:paraId="292075EB" w14:textId="3413F0DB" w:rsidR="009D4879" w:rsidRDefault="00635995" w:rsidP="00AF675D">
            <w:pPr>
              <w:pStyle w:val="af"/>
              <w:spacing w:line="360" w:lineRule="auto"/>
              <w:rPr>
                <w:rFonts w:ascii="Times New Roman" w:hAnsi="Times New Roman" w:cs="Times New Roman"/>
                <w:sz w:val="28"/>
                <w:szCs w:val="28"/>
              </w:rPr>
            </w:pPr>
            <w:r w:rsidRPr="00635995">
              <w:rPr>
                <w:rFonts w:ascii="Times New Roman" w:hAnsi="Times New Roman" w:cs="Times New Roman"/>
                <w:sz w:val="28"/>
                <w:szCs w:val="28"/>
              </w:rPr>
              <w:t>Середня/Висока (герметичність)</w:t>
            </w:r>
          </w:p>
        </w:tc>
      </w:tr>
    </w:tbl>
    <w:p w14:paraId="73AF6FAF" w14:textId="439B0A3E" w:rsidR="00121F0F" w:rsidRPr="00097259" w:rsidRDefault="00D201D0" w:rsidP="00107E42">
      <w:pPr>
        <w:pStyle w:val="af"/>
        <w:spacing w:line="360" w:lineRule="auto"/>
        <w:ind w:firstLine="708"/>
        <w:jc w:val="both"/>
        <w:rPr>
          <w:rFonts w:ascii="Times New Roman" w:hAnsi="Times New Roman" w:cs="Times New Roman"/>
          <w:sz w:val="28"/>
          <w:szCs w:val="28"/>
        </w:rPr>
      </w:pPr>
      <w:r w:rsidRPr="00B82F47">
        <w:rPr>
          <w:rFonts w:ascii="Times New Roman" w:hAnsi="Times New Roman" w:cs="Times New Roman"/>
          <w:sz w:val="28"/>
          <w:szCs w:val="28"/>
        </w:rPr>
        <w:t>Аналіз показує, що для реалізації концепції «цифрового гомеостазу» в масштабах Києва, ставка має бути зроблена на перехід до рідинних систем охолодження. Повітряні системи, які домінують у 90% існуючих ЦОД, є "тепловими дифузорами", що марнують енергетичний потенціал</w:t>
      </w:r>
      <w:r w:rsidRPr="00D201D0">
        <w:rPr>
          <w:rFonts w:ascii="Times New Roman" w:hAnsi="Times New Roman" w:cs="Times New Roman"/>
          <w:sz w:val="28"/>
          <w:szCs w:val="28"/>
        </w:rPr>
        <w:t>.</w:t>
      </w:r>
    </w:p>
    <w:p w14:paraId="3A6ACED3" w14:textId="77777777" w:rsidR="00B82F47" w:rsidRPr="00B82F47" w:rsidRDefault="00B82F47" w:rsidP="00107E42">
      <w:pPr>
        <w:pStyle w:val="af"/>
        <w:spacing w:line="360" w:lineRule="auto"/>
        <w:ind w:firstLine="360"/>
        <w:jc w:val="both"/>
        <w:rPr>
          <w:rFonts w:ascii="Times New Roman" w:hAnsi="Times New Roman" w:cs="Times New Roman"/>
          <w:sz w:val="28"/>
          <w:szCs w:val="28"/>
        </w:rPr>
      </w:pPr>
      <w:r w:rsidRPr="00B82F47">
        <w:rPr>
          <w:rFonts w:ascii="Times New Roman" w:hAnsi="Times New Roman" w:cs="Times New Roman"/>
          <w:sz w:val="28"/>
          <w:szCs w:val="28"/>
        </w:rPr>
        <w:t>Перехід на рідинні контури дозволяє:</w:t>
      </w:r>
    </w:p>
    <w:p w14:paraId="2E8D4880" w14:textId="77777777" w:rsidR="00B82F47" w:rsidRPr="00B82F47" w:rsidRDefault="00B82F47" w:rsidP="00107E42">
      <w:pPr>
        <w:pStyle w:val="af"/>
        <w:numPr>
          <w:ilvl w:val="0"/>
          <w:numId w:val="1"/>
        </w:numPr>
        <w:spacing w:line="360" w:lineRule="auto"/>
        <w:jc w:val="both"/>
        <w:rPr>
          <w:rFonts w:ascii="Times New Roman" w:hAnsi="Times New Roman" w:cs="Times New Roman"/>
          <w:sz w:val="28"/>
          <w:szCs w:val="28"/>
        </w:rPr>
      </w:pPr>
      <w:r w:rsidRPr="00B82F47">
        <w:rPr>
          <w:rFonts w:ascii="Times New Roman" w:hAnsi="Times New Roman" w:cs="Times New Roman"/>
          <w:sz w:val="28"/>
          <w:szCs w:val="28"/>
        </w:rPr>
        <w:lastRenderedPageBreak/>
        <w:t>Підвищити якість скидного тепла (температуру), що робить його "товарним" ресурсом.</w:t>
      </w:r>
    </w:p>
    <w:p w14:paraId="7D2313CA" w14:textId="77777777" w:rsidR="00B82F47" w:rsidRPr="00B82F47" w:rsidRDefault="00B82F47" w:rsidP="00107E42">
      <w:pPr>
        <w:pStyle w:val="af"/>
        <w:numPr>
          <w:ilvl w:val="0"/>
          <w:numId w:val="1"/>
        </w:numPr>
        <w:spacing w:line="360" w:lineRule="auto"/>
        <w:jc w:val="both"/>
        <w:rPr>
          <w:rFonts w:ascii="Times New Roman" w:hAnsi="Times New Roman" w:cs="Times New Roman"/>
          <w:sz w:val="28"/>
          <w:szCs w:val="28"/>
        </w:rPr>
      </w:pPr>
      <w:r w:rsidRPr="00B82F47">
        <w:rPr>
          <w:rFonts w:ascii="Times New Roman" w:hAnsi="Times New Roman" w:cs="Times New Roman"/>
          <w:sz w:val="28"/>
          <w:szCs w:val="28"/>
        </w:rPr>
        <w:t>Зменшити об'єм інженерних комунікацій, необхідних для теплопередачі (менший діаметр труб при тій самій потужності).</w:t>
      </w:r>
    </w:p>
    <w:p w14:paraId="45BB1C8D" w14:textId="77777777" w:rsidR="00B82F47" w:rsidRPr="00B82F47" w:rsidRDefault="00B82F47" w:rsidP="00107E42">
      <w:pPr>
        <w:pStyle w:val="af"/>
        <w:numPr>
          <w:ilvl w:val="0"/>
          <w:numId w:val="1"/>
        </w:numPr>
        <w:spacing w:line="360" w:lineRule="auto"/>
        <w:jc w:val="both"/>
        <w:rPr>
          <w:rFonts w:ascii="Times New Roman" w:hAnsi="Times New Roman" w:cs="Times New Roman"/>
          <w:sz w:val="28"/>
          <w:szCs w:val="28"/>
        </w:rPr>
      </w:pPr>
      <w:r w:rsidRPr="00B82F47">
        <w:rPr>
          <w:rFonts w:ascii="Times New Roman" w:hAnsi="Times New Roman" w:cs="Times New Roman"/>
          <w:sz w:val="28"/>
          <w:szCs w:val="28"/>
        </w:rPr>
        <w:t>Знизити ексергетичні втрати при трансформації тепла для потреб міських споживачів.</w:t>
      </w:r>
    </w:p>
    <w:p w14:paraId="094EC9F9" w14:textId="77777777" w:rsidR="00147825" w:rsidRPr="00147825" w:rsidRDefault="00A65315" w:rsidP="00107E42">
      <w:pPr>
        <w:pStyle w:val="af"/>
        <w:spacing w:line="360" w:lineRule="auto"/>
        <w:ind w:firstLine="360"/>
        <w:jc w:val="both"/>
        <w:rPr>
          <w:rFonts w:ascii="Times New Roman" w:hAnsi="Times New Roman" w:cs="Times New Roman"/>
          <w:sz w:val="28"/>
          <w:szCs w:val="28"/>
        </w:rPr>
      </w:pPr>
      <w:r w:rsidRPr="00147825">
        <w:rPr>
          <w:rFonts w:ascii="Times New Roman" w:hAnsi="Times New Roman" w:cs="Times New Roman"/>
          <w:sz w:val="28"/>
          <w:szCs w:val="28"/>
        </w:rPr>
        <w:t>Для того щоб перетворити скидне тепло ЦОД на корисний ресурс, необхідна «інженерна ланка» — система, що забезпечує передачу та, за потреби, підвищення потенціалу енергії. Основними технологічними вузлами в цій системі є високоефективні теплообмінники та теплові насоси.</w:t>
      </w:r>
    </w:p>
    <w:p w14:paraId="52ED7941" w14:textId="77777777" w:rsidR="00147825" w:rsidRPr="00147825" w:rsidRDefault="00147825" w:rsidP="00107E42">
      <w:pPr>
        <w:pStyle w:val="af"/>
        <w:spacing w:line="360" w:lineRule="auto"/>
        <w:ind w:firstLine="360"/>
        <w:jc w:val="both"/>
        <w:rPr>
          <w:rFonts w:ascii="Times New Roman" w:hAnsi="Times New Roman" w:cs="Times New Roman"/>
          <w:sz w:val="28"/>
          <w:szCs w:val="28"/>
        </w:rPr>
      </w:pPr>
      <w:r w:rsidRPr="00147825">
        <w:rPr>
          <w:rFonts w:ascii="Times New Roman" w:hAnsi="Times New Roman" w:cs="Times New Roman"/>
          <w:sz w:val="28"/>
          <w:szCs w:val="28"/>
        </w:rPr>
        <w:t>1.</w:t>
      </w:r>
      <w:r w:rsidR="00A65315" w:rsidRPr="00147825">
        <w:rPr>
          <w:rFonts w:ascii="Times New Roman" w:hAnsi="Times New Roman" w:cs="Times New Roman"/>
          <w:sz w:val="28"/>
          <w:szCs w:val="28"/>
        </w:rPr>
        <w:t>Пластинчасті теплообмінники (Plate Heat Exchangers, PHE):</w:t>
      </w:r>
    </w:p>
    <w:p w14:paraId="49CBD0FD" w14:textId="77777777" w:rsidR="00147825" w:rsidRPr="00147825" w:rsidRDefault="00A65315" w:rsidP="00107E42">
      <w:pPr>
        <w:pStyle w:val="af"/>
        <w:spacing w:line="360" w:lineRule="auto"/>
        <w:ind w:firstLine="360"/>
        <w:jc w:val="both"/>
        <w:rPr>
          <w:rFonts w:ascii="Times New Roman" w:hAnsi="Times New Roman" w:cs="Times New Roman"/>
          <w:sz w:val="28"/>
          <w:szCs w:val="28"/>
        </w:rPr>
      </w:pPr>
      <w:r w:rsidRPr="00147825">
        <w:rPr>
          <w:rFonts w:ascii="Times New Roman" w:hAnsi="Times New Roman" w:cs="Times New Roman"/>
          <w:sz w:val="28"/>
          <w:szCs w:val="28"/>
        </w:rPr>
        <w:t>Це первинний елемент інтерфейсу між контуром охолодження ЦОД та системою споживача. PHE забезпечують максимальну ефективність теплопередачі при мінімальній різниці температур (т.зв. "підхід" або </w:t>
      </w:r>
      <w:r w:rsidRPr="00147825">
        <w:rPr>
          <w:rFonts w:ascii="Times New Roman" w:hAnsi="Times New Roman" w:cs="Times New Roman"/>
          <w:i/>
          <w:iCs/>
          <w:sz w:val="28"/>
          <w:szCs w:val="28"/>
        </w:rPr>
        <w:t>approach temperature</w:t>
      </w:r>
      <w:r w:rsidRPr="00147825">
        <w:rPr>
          <w:rFonts w:ascii="Times New Roman" w:hAnsi="Times New Roman" w:cs="Times New Roman"/>
          <w:sz w:val="28"/>
          <w:szCs w:val="28"/>
        </w:rPr>
        <w:t> — різниця між вихідною температурою контуру ЦОД та вхідною температурою споживача). Використання PHE дозволяє розділити контури гідравлічно, що запобігає забрудненню міських тепломереж реагентами з системи охолодження ЦОД.</w:t>
      </w:r>
    </w:p>
    <w:p w14:paraId="2FAB3C71" w14:textId="73702889" w:rsidR="00A65315" w:rsidRPr="00147825" w:rsidRDefault="00147825" w:rsidP="00107E42">
      <w:pPr>
        <w:pStyle w:val="af"/>
        <w:spacing w:line="360" w:lineRule="auto"/>
        <w:ind w:firstLine="360"/>
        <w:jc w:val="both"/>
        <w:rPr>
          <w:rFonts w:ascii="Times New Roman" w:hAnsi="Times New Roman" w:cs="Times New Roman"/>
          <w:sz w:val="28"/>
          <w:szCs w:val="28"/>
        </w:rPr>
      </w:pPr>
      <w:r w:rsidRPr="00147825">
        <w:rPr>
          <w:rFonts w:ascii="Times New Roman" w:hAnsi="Times New Roman" w:cs="Times New Roman"/>
          <w:sz w:val="28"/>
          <w:szCs w:val="28"/>
        </w:rPr>
        <w:t>2.</w:t>
      </w:r>
      <w:r w:rsidR="00A65315" w:rsidRPr="00147825">
        <w:rPr>
          <w:rFonts w:ascii="Times New Roman" w:hAnsi="Times New Roman" w:cs="Times New Roman"/>
          <w:sz w:val="28"/>
          <w:szCs w:val="28"/>
        </w:rPr>
        <w:t>Теплові насоси як «ексергетичні підсилювачі»:</w:t>
      </w:r>
    </w:p>
    <w:p w14:paraId="3986A6F8" w14:textId="77777777" w:rsidR="00147825" w:rsidRPr="00147825" w:rsidRDefault="00A65315" w:rsidP="00107E42">
      <w:pPr>
        <w:pStyle w:val="af"/>
        <w:spacing w:line="360" w:lineRule="auto"/>
        <w:ind w:firstLine="360"/>
        <w:jc w:val="both"/>
        <w:rPr>
          <w:rFonts w:ascii="Times New Roman" w:hAnsi="Times New Roman" w:cs="Times New Roman"/>
          <w:sz w:val="28"/>
          <w:szCs w:val="28"/>
        </w:rPr>
      </w:pPr>
      <w:r w:rsidRPr="00147825">
        <w:rPr>
          <w:rFonts w:ascii="Times New Roman" w:hAnsi="Times New Roman" w:cs="Times New Roman"/>
          <w:sz w:val="28"/>
          <w:szCs w:val="28"/>
        </w:rPr>
        <w:t>Оскільки вихідна температура багатьох систем ЦОД (30–45°C) є недостатньою для стандартних систем опалення (60–90°C), теплові насоси виступають критичним інструментом.</w:t>
      </w:r>
    </w:p>
    <w:p w14:paraId="01B961C1" w14:textId="77777777" w:rsidR="00147825"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Принцип роботи: Тепловий насос «перекачує» енергію з низькотемпературного середовища (скидне тепло ЦОД) у високотемпературне (міська тепломережа), використовуючи електричну енергію для стиснення холодоагенту.</w:t>
      </w:r>
    </w:p>
    <w:p w14:paraId="11726F82" w14:textId="6CCFFA11" w:rsidR="00A65315"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Коефіцієнт ефективності (COP): Завдяки високій вхідній температурі (наприклад, 40°C замість 5–10°C з ґрунту чи повітря), COP промислових теплових насосів у парі з ЦОД може досягати значень 4,0–6,0. Це означає, що на 1 кВт витраченої електроенергії система видає 4–6 кВт теплової енергії.</w:t>
      </w:r>
    </w:p>
    <w:p w14:paraId="730703C5" w14:textId="77777777" w:rsidR="00A65315"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lastRenderedPageBreak/>
        <w:t>Ефективність рекуперації залежить від того, наскільки вимоги споживача до температури теплоносія відповідають ексергії скидного тепла. Ми класифікуємо споживачів за температурними класами:</w:t>
      </w:r>
    </w:p>
    <w:p w14:paraId="57DFA05D" w14:textId="76C7A8CC"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1. Централізоване опалення:</w:t>
      </w:r>
    </w:p>
    <w:p w14:paraId="5CE7CF9B"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Температурні вимоги: 60–90°C.</w:t>
      </w:r>
    </w:p>
    <w:p w14:paraId="44F89C7E"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Особливість: Потребує інтеграції теплових насосів (температурний "ліфт"). Це найбільш масштабований шлях, що забезпечує стабільний "базовий" попит, ідеально синхронізований з постійною роботою ЦОД.</w:t>
      </w:r>
    </w:p>
    <w:p w14:paraId="638C5118" w14:textId="7A7A681A" w:rsidR="00A65315"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Потенціал для Києва: Високий, особливо в районах з щільною забудовою та наявними магістральними мережами.</w:t>
      </w:r>
    </w:p>
    <w:p w14:paraId="48185FE9"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2. Промислові процеси:</w:t>
      </w:r>
    </w:p>
    <w:p w14:paraId="2E358EEF"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Температурні вимоги: 50–120°C+.</w:t>
      </w:r>
    </w:p>
    <w:p w14:paraId="5E3E9376"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Особливість: Деякі процеси (сушіння, дезінфекція, підігрів сировини) можуть бути адаптовані під низькотемпературний режим.</w:t>
      </w:r>
    </w:p>
    <w:p w14:paraId="1C6BFF9C" w14:textId="2C94A9B0" w:rsidR="00A65315" w:rsidRPr="00147825" w:rsidRDefault="00A65315" w:rsidP="00107E42">
      <w:pPr>
        <w:pStyle w:val="af"/>
        <w:spacing w:line="360" w:lineRule="auto"/>
        <w:jc w:val="both"/>
        <w:rPr>
          <w:rFonts w:ascii="Times New Roman" w:hAnsi="Times New Roman" w:cs="Times New Roman"/>
          <w:sz w:val="28"/>
          <w:szCs w:val="28"/>
        </w:rPr>
      </w:pPr>
      <w:r w:rsidRPr="00147825">
        <w:rPr>
          <w:rFonts w:ascii="Times New Roman" w:hAnsi="Times New Roman" w:cs="Times New Roman"/>
          <w:sz w:val="28"/>
          <w:szCs w:val="28"/>
        </w:rPr>
        <w:t>Потенціал: Обмежений, вимагає специфічного підбору виробництв, що знаходяться в безпосередній близькості до ЦОД.</w:t>
      </w:r>
    </w:p>
    <w:p w14:paraId="5C9C9284"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3. Тепличні господарства (Агросимбіоз):</w:t>
      </w:r>
    </w:p>
    <w:p w14:paraId="769DBB72"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Температурні вимоги: 25–40°C.</w:t>
      </w:r>
    </w:p>
    <w:p w14:paraId="65C3B15C"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Особливість: Це "ідеальний споживач". Вимоги до температури майже повністю збігаються з вихідною температурою повітряного контуру ЦОД. Це дозволяє уникнути встановлення дорогих теплових насосів.</w:t>
      </w:r>
    </w:p>
    <w:p w14:paraId="4C1718B3" w14:textId="1D0F0F1E" w:rsidR="00A65315"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Потенціал: Надзвичайно високий. Тепличні комплекси можуть бути розміщені безпосередньо "на даху" або поруч із ЦОД, створюючи "цифро-аграрні кластери".</w:t>
      </w:r>
    </w:p>
    <w:p w14:paraId="46ECCE86"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4. Аквакультура (Рибництво):</w:t>
      </w:r>
    </w:p>
    <w:p w14:paraId="1DDE08B5"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Температурні вимоги: 18–28°C.</w:t>
      </w:r>
    </w:p>
    <w:p w14:paraId="66B27A6B" w14:textId="77777777" w:rsidR="0060560B" w:rsidRPr="0014782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Особливість: Потребує дуже стабільного, але низькотемпературного тепла.</w:t>
      </w:r>
    </w:p>
    <w:p w14:paraId="7BC159C0" w14:textId="52ADBB9B" w:rsidR="001E5575" w:rsidRDefault="00A65315" w:rsidP="00107E42">
      <w:pPr>
        <w:pStyle w:val="af"/>
        <w:spacing w:line="360" w:lineRule="auto"/>
        <w:ind w:firstLine="708"/>
        <w:jc w:val="both"/>
        <w:rPr>
          <w:rFonts w:ascii="Times New Roman" w:hAnsi="Times New Roman" w:cs="Times New Roman"/>
          <w:sz w:val="28"/>
          <w:szCs w:val="28"/>
        </w:rPr>
      </w:pPr>
      <w:r w:rsidRPr="00147825">
        <w:rPr>
          <w:rFonts w:ascii="Times New Roman" w:hAnsi="Times New Roman" w:cs="Times New Roman"/>
          <w:sz w:val="28"/>
          <w:szCs w:val="28"/>
        </w:rPr>
        <w:t>Потенціал: Унікальний кейс використання "найнижчого" за якістю тепла, яке зазвичай вважається марним.</w:t>
      </w:r>
      <w:r w:rsidR="001E5575">
        <w:rPr>
          <w:rFonts w:ascii="Times New Roman" w:hAnsi="Times New Roman" w:cs="Times New Roman"/>
          <w:sz w:val="28"/>
          <w:szCs w:val="28"/>
        </w:rPr>
        <w:br w:type="page"/>
      </w:r>
    </w:p>
    <w:p w14:paraId="6E02FF66" w14:textId="040CE0F2" w:rsidR="00107E42" w:rsidRPr="00147825" w:rsidRDefault="00107E42" w:rsidP="00107E42">
      <w:pPr>
        <w:pStyle w:val="af"/>
        <w:spacing w:line="360" w:lineRule="auto"/>
        <w:ind w:firstLine="708"/>
        <w:jc w:val="both"/>
        <w:rPr>
          <w:rFonts w:ascii="Times New Roman" w:hAnsi="Times New Roman" w:cs="Times New Roman"/>
          <w:sz w:val="28"/>
          <w:szCs w:val="28"/>
        </w:rPr>
      </w:pPr>
      <w:r w:rsidRPr="003C5F29">
        <w:rPr>
          <w:rFonts w:ascii="Times New Roman" w:hAnsi="Times New Roman" w:cs="Times New Roman"/>
          <w:sz w:val="28"/>
          <w:szCs w:val="28"/>
        </w:rPr>
        <w:lastRenderedPageBreak/>
        <w:t>Таблиця 4.</w:t>
      </w:r>
      <w:r>
        <w:rPr>
          <w:rFonts w:ascii="Times New Roman" w:hAnsi="Times New Roman" w:cs="Times New Roman"/>
          <w:sz w:val="28"/>
          <w:szCs w:val="28"/>
        </w:rPr>
        <w:t>2</w:t>
      </w:r>
      <w:r w:rsidRPr="003C5F29">
        <w:rPr>
          <w:rFonts w:ascii="Times New Roman" w:hAnsi="Times New Roman" w:cs="Times New Roman"/>
          <w:sz w:val="28"/>
          <w:szCs w:val="28"/>
        </w:rPr>
        <w:t>. Матриця узгодження джерел та споживачів (Синтез)</w:t>
      </w:r>
    </w:p>
    <w:tbl>
      <w:tblPr>
        <w:tblStyle w:val="af0"/>
        <w:tblW w:w="0" w:type="auto"/>
        <w:tblLook w:val="04A0" w:firstRow="1" w:lastRow="0" w:firstColumn="1" w:lastColumn="0" w:noHBand="0" w:noVBand="1"/>
      </w:tblPr>
      <w:tblGrid>
        <w:gridCol w:w="2143"/>
        <w:gridCol w:w="1819"/>
        <w:gridCol w:w="1907"/>
        <w:gridCol w:w="1875"/>
        <w:gridCol w:w="1885"/>
      </w:tblGrid>
      <w:tr w:rsidR="00B43292" w14:paraId="126B9E0B" w14:textId="77777777" w:rsidTr="003C5F29">
        <w:tc>
          <w:tcPr>
            <w:tcW w:w="2143" w:type="dxa"/>
          </w:tcPr>
          <w:p w14:paraId="4587FEB9" w14:textId="26ED3749" w:rsidR="00B43292" w:rsidRDefault="00B43292" w:rsidP="00FB1C0A">
            <w:pPr>
              <w:pStyle w:val="af"/>
              <w:spacing w:line="360" w:lineRule="auto"/>
              <w:rPr>
                <w:rFonts w:ascii="Times New Roman" w:hAnsi="Times New Roman" w:cs="Times New Roman"/>
                <w:sz w:val="28"/>
                <w:szCs w:val="28"/>
              </w:rPr>
            </w:pPr>
            <w:r w:rsidRPr="00B43292">
              <w:rPr>
                <w:rFonts w:ascii="Times New Roman" w:hAnsi="Times New Roman" w:cs="Times New Roman"/>
                <w:sz w:val="28"/>
                <w:szCs w:val="28"/>
              </w:rPr>
              <w:t>Шлях споживання</w:t>
            </w:r>
          </w:p>
        </w:tc>
        <w:tc>
          <w:tcPr>
            <w:tcW w:w="1819" w:type="dxa"/>
          </w:tcPr>
          <w:p w14:paraId="0D43CD96" w14:textId="1E1EC516" w:rsidR="00B43292" w:rsidRDefault="00ED2BB3" w:rsidP="00FB1C0A">
            <w:pPr>
              <w:pStyle w:val="af"/>
              <w:spacing w:line="360" w:lineRule="auto"/>
              <w:rPr>
                <w:rFonts w:ascii="Times New Roman" w:hAnsi="Times New Roman" w:cs="Times New Roman"/>
                <w:sz w:val="28"/>
                <w:szCs w:val="28"/>
              </w:rPr>
            </w:pPr>
            <w:r w:rsidRPr="00ED2BB3">
              <w:rPr>
                <w:rFonts w:ascii="Times New Roman" w:hAnsi="Times New Roman" w:cs="Times New Roman"/>
                <w:sz w:val="28"/>
                <w:szCs w:val="28"/>
              </w:rPr>
              <w:t>Вимоги (T, °C)</w:t>
            </w:r>
          </w:p>
        </w:tc>
        <w:tc>
          <w:tcPr>
            <w:tcW w:w="1907" w:type="dxa"/>
          </w:tcPr>
          <w:p w14:paraId="7D32A6D1" w14:textId="0F8ED148" w:rsidR="00B43292" w:rsidRDefault="00ED2BB3" w:rsidP="00FB1C0A">
            <w:pPr>
              <w:pStyle w:val="af"/>
              <w:spacing w:line="360" w:lineRule="auto"/>
              <w:rPr>
                <w:rFonts w:ascii="Times New Roman" w:hAnsi="Times New Roman" w:cs="Times New Roman"/>
                <w:sz w:val="28"/>
                <w:szCs w:val="28"/>
              </w:rPr>
            </w:pPr>
            <w:r w:rsidRPr="00ED2BB3">
              <w:rPr>
                <w:rFonts w:ascii="Times New Roman" w:hAnsi="Times New Roman" w:cs="Times New Roman"/>
                <w:sz w:val="28"/>
                <w:szCs w:val="28"/>
              </w:rPr>
              <w:t>Необхідність ТН*</w:t>
            </w:r>
          </w:p>
        </w:tc>
        <w:tc>
          <w:tcPr>
            <w:tcW w:w="1875" w:type="dxa"/>
          </w:tcPr>
          <w:p w14:paraId="1B368A07" w14:textId="6DAC06B8" w:rsidR="00B43292" w:rsidRDefault="00ED2BB3" w:rsidP="00FB1C0A">
            <w:pPr>
              <w:pStyle w:val="af"/>
              <w:spacing w:line="360" w:lineRule="auto"/>
              <w:rPr>
                <w:rFonts w:ascii="Times New Roman" w:hAnsi="Times New Roman" w:cs="Times New Roman"/>
                <w:sz w:val="28"/>
                <w:szCs w:val="28"/>
              </w:rPr>
            </w:pPr>
            <w:r w:rsidRPr="00ED2BB3">
              <w:rPr>
                <w:rFonts w:ascii="Times New Roman" w:hAnsi="Times New Roman" w:cs="Times New Roman"/>
                <w:sz w:val="28"/>
                <w:szCs w:val="28"/>
              </w:rPr>
              <w:t>Складність інтеграції</w:t>
            </w:r>
          </w:p>
        </w:tc>
        <w:tc>
          <w:tcPr>
            <w:tcW w:w="1885" w:type="dxa"/>
          </w:tcPr>
          <w:p w14:paraId="1659E9D0" w14:textId="3562275A" w:rsidR="00B43292" w:rsidRDefault="00ED2BB3" w:rsidP="00FB1C0A">
            <w:pPr>
              <w:pStyle w:val="af"/>
              <w:spacing w:line="360" w:lineRule="auto"/>
              <w:rPr>
                <w:rFonts w:ascii="Times New Roman" w:hAnsi="Times New Roman" w:cs="Times New Roman"/>
                <w:sz w:val="28"/>
                <w:szCs w:val="28"/>
              </w:rPr>
            </w:pPr>
            <w:r w:rsidRPr="00ED2BB3">
              <w:rPr>
                <w:rFonts w:ascii="Times New Roman" w:hAnsi="Times New Roman" w:cs="Times New Roman"/>
                <w:sz w:val="28"/>
                <w:szCs w:val="28"/>
              </w:rPr>
              <w:t>Економічна доцільність</w:t>
            </w:r>
          </w:p>
        </w:tc>
      </w:tr>
      <w:tr w:rsidR="00B43292" w14:paraId="39F34290" w14:textId="77777777" w:rsidTr="003C5F29">
        <w:tc>
          <w:tcPr>
            <w:tcW w:w="2143" w:type="dxa"/>
          </w:tcPr>
          <w:p w14:paraId="459AB86E" w14:textId="30FE27A1" w:rsidR="00B43292" w:rsidRDefault="00C540B9" w:rsidP="00FB1C0A">
            <w:pPr>
              <w:pStyle w:val="af"/>
              <w:spacing w:line="360" w:lineRule="auto"/>
              <w:rPr>
                <w:rFonts w:ascii="Times New Roman" w:hAnsi="Times New Roman" w:cs="Times New Roman"/>
                <w:sz w:val="28"/>
                <w:szCs w:val="28"/>
              </w:rPr>
            </w:pPr>
            <w:r w:rsidRPr="00C540B9">
              <w:rPr>
                <w:rFonts w:ascii="Times New Roman" w:hAnsi="Times New Roman" w:cs="Times New Roman"/>
                <w:b/>
                <w:bCs/>
                <w:sz w:val="28"/>
                <w:szCs w:val="28"/>
              </w:rPr>
              <w:t>Центральне опалення</w:t>
            </w:r>
          </w:p>
        </w:tc>
        <w:tc>
          <w:tcPr>
            <w:tcW w:w="1819" w:type="dxa"/>
          </w:tcPr>
          <w:p w14:paraId="5BA222C9" w14:textId="7B790742" w:rsidR="00B43292" w:rsidRDefault="003B68EF" w:rsidP="00FB1C0A">
            <w:pPr>
              <w:pStyle w:val="af"/>
              <w:spacing w:line="360" w:lineRule="auto"/>
              <w:rPr>
                <w:rFonts w:ascii="Times New Roman" w:hAnsi="Times New Roman" w:cs="Times New Roman"/>
                <w:sz w:val="28"/>
                <w:szCs w:val="28"/>
              </w:rPr>
            </w:pPr>
            <w:r w:rsidRPr="003B68EF">
              <w:rPr>
                <w:rFonts w:ascii="Times New Roman" w:hAnsi="Times New Roman" w:cs="Times New Roman"/>
                <w:sz w:val="28"/>
                <w:szCs w:val="28"/>
              </w:rPr>
              <w:t>60–90</w:t>
            </w:r>
          </w:p>
        </w:tc>
        <w:tc>
          <w:tcPr>
            <w:tcW w:w="1907" w:type="dxa"/>
          </w:tcPr>
          <w:p w14:paraId="761D5627" w14:textId="7938E16B" w:rsidR="00B43292" w:rsidRDefault="00C702BE" w:rsidP="00FB1C0A">
            <w:pPr>
              <w:pStyle w:val="af"/>
              <w:spacing w:line="360" w:lineRule="auto"/>
              <w:rPr>
                <w:rFonts w:ascii="Times New Roman" w:hAnsi="Times New Roman" w:cs="Times New Roman"/>
                <w:sz w:val="28"/>
                <w:szCs w:val="28"/>
              </w:rPr>
            </w:pPr>
            <w:r w:rsidRPr="00C702BE">
              <w:rPr>
                <w:rFonts w:ascii="Times New Roman" w:hAnsi="Times New Roman" w:cs="Times New Roman"/>
                <w:sz w:val="28"/>
                <w:szCs w:val="28"/>
              </w:rPr>
              <w:t>Так</w:t>
            </w:r>
          </w:p>
        </w:tc>
        <w:tc>
          <w:tcPr>
            <w:tcW w:w="1875" w:type="dxa"/>
          </w:tcPr>
          <w:p w14:paraId="5E7F0DE7" w14:textId="37248D94" w:rsidR="00B43292" w:rsidRDefault="001E5575" w:rsidP="00FB1C0A">
            <w:pPr>
              <w:pStyle w:val="af"/>
              <w:spacing w:line="360" w:lineRule="auto"/>
              <w:rPr>
                <w:rFonts w:ascii="Times New Roman" w:hAnsi="Times New Roman" w:cs="Times New Roman"/>
                <w:sz w:val="28"/>
                <w:szCs w:val="28"/>
              </w:rPr>
            </w:pPr>
            <w:r w:rsidRPr="001E5575">
              <w:rPr>
                <w:rFonts w:ascii="Times New Roman" w:hAnsi="Times New Roman" w:cs="Times New Roman"/>
                <w:sz w:val="28"/>
                <w:szCs w:val="28"/>
              </w:rPr>
              <w:t>Висока</w:t>
            </w:r>
          </w:p>
        </w:tc>
        <w:tc>
          <w:tcPr>
            <w:tcW w:w="1885" w:type="dxa"/>
          </w:tcPr>
          <w:p w14:paraId="4B453AF2" w14:textId="3DD4F565" w:rsidR="00B43292" w:rsidRDefault="00BA665E" w:rsidP="00FB1C0A">
            <w:pPr>
              <w:pStyle w:val="af"/>
              <w:spacing w:line="360" w:lineRule="auto"/>
              <w:rPr>
                <w:rFonts w:ascii="Times New Roman" w:hAnsi="Times New Roman" w:cs="Times New Roman"/>
                <w:sz w:val="28"/>
                <w:szCs w:val="28"/>
              </w:rPr>
            </w:pPr>
            <w:r w:rsidRPr="00BA665E">
              <w:rPr>
                <w:rFonts w:ascii="Times New Roman" w:hAnsi="Times New Roman" w:cs="Times New Roman"/>
                <w:sz w:val="28"/>
                <w:szCs w:val="28"/>
              </w:rPr>
              <w:t>Висока</w:t>
            </w:r>
          </w:p>
        </w:tc>
      </w:tr>
      <w:tr w:rsidR="00B43292" w14:paraId="33FCE8DD" w14:textId="77777777" w:rsidTr="003C5F29">
        <w:tc>
          <w:tcPr>
            <w:tcW w:w="2143" w:type="dxa"/>
          </w:tcPr>
          <w:p w14:paraId="444D5053" w14:textId="489B37FB" w:rsidR="00B43292" w:rsidRDefault="00C540B9" w:rsidP="00FB1C0A">
            <w:pPr>
              <w:pStyle w:val="af"/>
              <w:spacing w:line="360" w:lineRule="auto"/>
              <w:rPr>
                <w:rFonts w:ascii="Times New Roman" w:hAnsi="Times New Roman" w:cs="Times New Roman"/>
                <w:sz w:val="28"/>
                <w:szCs w:val="28"/>
              </w:rPr>
            </w:pPr>
            <w:r w:rsidRPr="00C540B9">
              <w:rPr>
                <w:rFonts w:ascii="Times New Roman" w:hAnsi="Times New Roman" w:cs="Times New Roman"/>
                <w:b/>
                <w:bCs/>
                <w:sz w:val="28"/>
                <w:szCs w:val="28"/>
              </w:rPr>
              <w:t>Промисловість</w:t>
            </w:r>
          </w:p>
        </w:tc>
        <w:tc>
          <w:tcPr>
            <w:tcW w:w="1819" w:type="dxa"/>
          </w:tcPr>
          <w:p w14:paraId="650F5AF7" w14:textId="01DA7DE3" w:rsidR="00B43292" w:rsidRDefault="003B68EF" w:rsidP="00FB1C0A">
            <w:pPr>
              <w:pStyle w:val="af"/>
              <w:spacing w:line="360" w:lineRule="auto"/>
              <w:rPr>
                <w:rFonts w:ascii="Times New Roman" w:hAnsi="Times New Roman" w:cs="Times New Roman"/>
                <w:sz w:val="28"/>
                <w:szCs w:val="28"/>
              </w:rPr>
            </w:pPr>
            <w:r w:rsidRPr="003B68EF">
              <w:rPr>
                <w:rFonts w:ascii="Times New Roman" w:hAnsi="Times New Roman" w:cs="Times New Roman"/>
                <w:sz w:val="28"/>
                <w:szCs w:val="28"/>
              </w:rPr>
              <w:t>50–120</w:t>
            </w:r>
          </w:p>
        </w:tc>
        <w:tc>
          <w:tcPr>
            <w:tcW w:w="1907" w:type="dxa"/>
          </w:tcPr>
          <w:p w14:paraId="19219544" w14:textId="21B7D3B3" w:rsidR="00B43292" w:rsidRDefault="00C702BE" w:rsidP="00FB1C0A">
            <w:pPr>
              <w:pStyle w:val="af"/>
              <w:spacing w:line="360" w:lineRule="auto"/>
              <w:rPr>
                <w:rFonts w:ascii="Times New Roman" w:hAnsi="Times New Roman" w:cs="Times New Roman"/>
                <w:sz w:val="28"/>
                <w:szCs w:val="28"/>
              </w:rPr>
            </w:pPr>
            <w:r w:rsidRPr="00C702BE">
              <w:rPr>
                <w:rFonts w:ascii="Times New Roman" w:hAnsi="Times New Roman" w:cs="Times New Roman"/>
                <w:sz w:val="28"/>
                <w:szCs w:val="28"/>
              </w:rPr>
              <w:t>Так</w:t>
            </w:r>
          </w:p>
        </w:tc>
        <w:tc>
          <w:tcPr>
            <w:tcW w:w="1875" w:type="dxa"/>
          </w:tcPr>
          <w:p w14:paraId="38681BE2" w14:textId="1E8D8246" w:rsidR="00B43292" w:rsidRDefault="001E5575" w:rsidP="00FB1C0A">
            <w:pPr>
              <w:pStyle w:val="af"/>
              <w:spacing w:line="360" w:lineRule="auto"/>
              <w:rPr>
                <w:rFonts w:ascii="Times New Roman" w:hAnsi="Times New Roman" w:cs="Times New Roman"/>
                <w:sz w:val="28"/>
                <w:szCs w:val="28"/>
              </w:rPr>
            </w:pPr>
            <w:r w:rsidRPr="001E5575">
              <w:rPr>
                <w:rFonts w:ascii="Times New Roman" w:hAnsi="Times New Roman" w:cs="Times New Roman"/>
                <w:sz w:val="28"/>
                <w:szCs w:val="28"/>
              </w:rPr>
              <w:t>Середня</w:t>
            </w:r>
          </w:p>
        </w:tc>
        <w:tc>
          <w:tcPr>
            <w:tcW w:w="1885" w:type="dxa"/>
          </w:tcPr>
          <w:p w14:paraId="0D028033" w14:textId="5D830E91" w:rsidR="00B43292" w:rsidRDefault="00BA665E" w:rsidP="00FB1C0A">
            <w:pPr>
              <w:pStyle w:val="af"/>
              <w:spacing w:line="360" w:lineRule="auto"/>
              <w:rPr>
                <w:rFonts w:ascii="Times New Roman" w:hAnsi="Times New Roman" w:cs="Times New Roman"/>
                <w:sz w:val="28"/>
                <w:szCs w:val="28"/>
              </w:rPr>
            </w:pPr>
            <w:r w:rsidRPr="00BA665E">
              <w:rPr>
                <w:rFonts w:ascii="Times New Roman" w:hAnsi="Times New Roman" w:cs="Times New Roman"/>
                <w:sz w:val="28"/>
                <w:szCs w:val="28"/>
              </w:rPr>
              <w:t>Середня</w:t>
            </w:r>
          </w:p>
        </w:tc>
      </w:tr>
      <w:tr w:rsidR="00B43292" w14:paraId="4F0D3CFC" w14:textId="77777777" w:rsidTr="003C5F29">
        <w:tc>
          <w:tcPr>
            <w:tcW w:w="2143" w:type="dxa"/>
          </w:tcPr>
          <w:p w14:paraId="087E32F1" w14:textId="79608D04" w:rsidR="00B43292" w:rsidRDefault="00C540B9" w:rsidP="00FB1C0A">
            <w:pPr>
              <w:pStyle w:val="af"/>
              <w:spacing w:line="360" w:lineRule="auto"/>
              <w:rPr>
                <w:rFonts w:ascii="Times New Roman" w:hAnsi="Times New Roman" w:cs="Times New Roman"/>
                <w:sz w:val="28"/>
                <w:szCs w:val="28"/>
              </w:rPr>
            </w:pPr>
            <w:r w:rsidRPr="00C540B9">
              <w:rPr>
                <w:rFonts w:ascii="Times New Roman" w:hAnsi="Times New Roman" w:cs="Times New Roman"/>
                <w:b/>
                <w:bCs/>
                <w:sz w:val="28"/>
                <w:szCs w:val="28"/>
              </w:rPr>
              <w:t>Теплиці</w:t>
            </w:r>
          </w:p>
        </w:tc>
        <w:tc>
          <w:tcPr>
            <w:tcW w:w="1819" w:type="dxa"/>
          </w:tcPr>
          <w:p w14:paraId="6C74F40E" w14:textId="4CF0D4F2" w:rsidR="00B43292" w:rsidRDefault="003B68EF" w:rsidP="00FB1C0A">
            <w:pPr>
              <w:pStyle w:val="af"/>
              <w:spacing w:line="360" w:lineRule="auto"/>
              <w:rPr>
                <w:rFonts w:ascii="Times New Roman" w:hAnsi="Times New Roman" w:cs="Times New Roman"/>
                <w:sz w:val="28"/>
                <w:szCs w:val="28"/>
              </w:rPr>
            </w:pPr>
            <w:r w:rsidRPr="003B68EF">
              <w:rPr>
                <w:rFonts w:ascii="Times New Roman" w:hAnsi="Times New Roman" w:cs="Times New Roman"/>
                <w:sz w:val="28"/>
                <w:szCs w:val="28"/>
              </w:rPr>
              <w:t>25–40</w:t>
            </w:r>
          </w:p>
        </w:tc>
        <w:tc>
          <w:tcPr>
            <w:tcW w:w="1907" w:type="dxa"/>
          </w:tcPr>
          <w:p w14:paraId="5DC3B93E" w14:textId="112C8149" w:rsidR="00B43292" w:rsidRDefault="00C702BE" w:rsidP="00FB1C0A">
            <w:pPr>
              <w:pStyle w:val="af"/>
              <w:spacing w:line="360" w:lineRule="auto"/>
              <w:rPr>
                <w:rFonts w:ascii="Times New Roman" w:hAnsi="Times New Roman" w:cs="Times New Roman"/>
                <w:sz w:val="28"/>
                <w:szCs w:val="28"/>
              </w:rPr>
            </w:pPr>
            <w:r w:rsidRPr="00C702BE">
              <w:rPr>
                <w:rFonts w:ascii="Times New Roman" w:hAnsi="Times New Roman" w:cs="Times New Roman"/>
                <w:sz w:val="28"/>
                <w:szCs w:val="28"/>
              </w:rPr>
              <w:t>Ні</w:t>
            </w:r>
          </w:p>
        </w:tc>
        <w:tc>
          <w:tcPr>
            <w:tcW w:w="1875" w:type="dxa"/>
          </w:tcPr>
          <w:p w14:paraId="38A6589D" w14:textId="438C8499" w:rsidR="00B43292" w:rsidRDefault="001E5575" w:rsidP="00FB1C0A">
            <w:pPr>
              <w:pStyle w:val="af"/>
              <w:spacing w:line="360" w:lineRule="auto"/>
              <w:rPr>
                <w:rFonts w:ascii="Times New Roman" w:hAnsi="Times New Roman" w:cs="Times New Roman"/>
                <w:sz w:val="28"/>
                <w:szCs w:val="28"/>
              </w:rPr>
            </w:pPr>
            <w:r w:rsidRPr="001E5575">
              <w:rPr>
                <w:rFonts w:ascii="Times New Roman" w:hAnsi="Times New Roman" w:cs="Times New Roman"/>
                <w:sz w:val="28"/>
                <w:szCs w:val="28"/>
              </w:rPr>
              <w:t>Низька</w:t>
            </w:r>
          </w:p>
        </w:tc>
        <w:tc>
          <w:tcPr>
            <w:tcW w:w="1885" w:type="dxa"/>
          </w:tcPr>
          <w:p w14:paraId="60A257C0" w14:textId="06B99395" w:rsidR="00B43292" w:rsidRDefault="00BA665E" w:rsidP="00FB1C0A">
            <w:pPr>
              <w:pStyle w:val="af"/>
              <w:spacing w:line="360" w:lineRule="auto"/>
              <w:rPr>
                <w:rFonts w:ascii="Times New Roman" w:hAnsi="Times New Roman" w:cs="Times New Roman"/>
                <w:sz w:val="28"/>
                <w:szCs w:val="28"/>
              </w:rPr>
            </w:pPr>
            <w:r w:rsidRPr="00BA665E">
              <w:rPr>
                <w:rFonts w:ascii="Times New Roman" w:hAnsi="Times New Roman" w:cs="Times New Roman"/>
                <w:sz w:val="28"/>
                <w:szCs w:val="28"/>
              </w:rPr>
              <w:t>Дуже висока</w:t>
            </w:r>
          </w:p>
        </w:tc>
      </w:tr>
      <w:tr w:rsidR="00B43292" w14:paraId="4AC655CE" w14:textId="77777777" w:rsidTr="003C5F29">
        <w:tc>
          <w:tcPr>
            <w:tcW w:w="2143" w:type="dxa"/>
          </w:tcPr>
          <w:p w14:paraId="49E98063" w14:textId="5246AE04" w:rsidR="00B43292" w:rsidRDefault="00C540B9" w:rsidP="00FB1C0A">
            <w:pPr>
              <w:pStyle w:val="af"/>
              <w:spacing w:line="360" w:lineRule="auto"/>
              <w:rPr>
                <w:rFonts w:ascii="Times New Roman" w:hAnsi="Times New Roman" w:cs="Times New Roman"/>
                <w:sz w:val="28"/>
                <w:szCs w:val="28"/>
              </w:rPr>
            </w:pPr>
            <w:r w:rsidRPr="00C540B9">
              <w:rPr>
                <w:rFonts w:ascii="Times New Roman" w:hAnsi="Times New Roman" w:cs="Times New Roman"/>
                <w:b/>
                <w:bCs/>
                <w:sz w:val="28"/>
                <w:szCs w:val="28"/>
              </w:rPr>
              <w:t>Аквакультура</w:t>
            </w:r>
          </w:p>
        </w:tc>
        <w:tc>
          <w:tcPr>
            <w:tcW w:w="1819" w:type="dxa"/>
          </w:tcPr>
          <w:p w14:paraId="1DEF44F0" w14:textId="483876AB" w:rsidR="00B43292" w:rsidRDefault="003B68EF" w:rsidP="00FB1C0A">
            <w:pPr>
              <w:pStyle w:val="af"/>
              <w:spacing w:line="360" w:lineRule="auto"/>
              <w:rPr>
                <w:rFonts w:ascii="Times New Roman" w:hAnsi="Times New Roman" w:cs="Times New Roman"/>
                <w:sz w:val="28"/>
                <w:szCs w:val="28"/>
              </w:rPr>
            </w:pPr>
            <w:r w:rsidRPr="003B68EF">
              <w:rPr>
                <w:rFonts w:ascii="Times New Roman" w:hAnsi="Times New Roman" w:cs="Times New Roman"/>
                <w:sz w:val="28"/>
                <w:szCs w:val="28"/>
              </w:rPr>
              <w:t>18–28</w:t>
            </w:r>
          </w:p>
        </w:tc>
        <w:tc>
          <w:tcPr>
            <w:tcW w:w="1907" w:type="dxa"/>
          </w:tcPr>
          <w:p w14:paraId="7F345F09" w14:textId="5E70BD72" w:rsidR="00B43292" w:rsidRDefault="00C702BE" w:rsidP="00FB1C0A">
            <w:pPr>
              <w:pStyle w:val="af"/>
              <w:spacing w:line="360" w:lineRule="auto"/>
              <w:rPr>
                <w:rFonts w:ascii="Times New Roman" w:hAnsi="Times New Roman" w:cs="Times New Roman"/>
                <w:sz w:val="28"/>
                <w:szCs w:val="28"/>
              </w:rPr>
            </w:pPr>
            <w:r w:rsidRPr="00C702BE">
              <w:rPr>
                <w:rFonts w:ascii="Times New Roman" w:hAnsi="Times New Roman" w:cs="Times New Roman"/>
                <w:sz w:val="28"/>
                <w:szCs w:val="28"/>
              </w:rPr>
              <w:t>Ні</w:t>
            </w:r>
          </w:p>
        </w:tc>
        <w:tc>
          <w:tcPr>
            <w:tcW w:w="1875" w:type="dxa"/>
          </w:tcPr>
          <w:p w14:paraId="172ED0C9" w14:textId="1C2B81A6" w:rsidR="00B43292" w:rsidRDefault="00C702BE" w:rsidP="00FB1C0A">
            <w:pPr>
              <w:pStyle w:val="af"/>
              <w:spacing w:line="360" w:lineRule="auto"/>
              <w:rPr>
                <w:rFonts w:ascii="Times New Roman" w:hAnsi="Times New Roman" w:cs="Times New Roman"/>
                <w:sz w:val="28"/>
                <w:szCs w:val="28"/>
              </w:rPr>
            </w:pPr>
            <w:r w:rsidRPr="00C702BE">
              <w:rPr>
                <w:rFonts w:ascii="Times New Roman" w:hAnsi="Times New Roman" w:cs="Times New Roman"/>
                <w:sz w:val="28"/>
                <w:szCs w:val="28"/>
              </w:rPr>
              <w:t>Низька</w:t>
            </w:r>
          </w:p>
        </w:tc>
        <w:tc>
          <w:tcPr>
            <w:tcW w:w="1885" w:type="dxa"/>
          </w:tcPr>
          <w:p w14:paraId="7A0C73E0" w14:textId="531D480F" w:rsidR="00B43292" w:rsidRDefault="00BA665E" w:rsidP="00FB1C0A">
            <w:pPr>
              <w:pStyle w:val="af"/>
              <w:spacing w:line="360" w:lineRule="auto"/>
              <w:rPr>
                <w:rFonts w:ascii="Times New Roman" w:hAnsi="Times New Roman" w:cs="Times New Roman"/>
                <w:sz w:val="28"/>
                <w:szCs w:val="28"/>
              </w:rPr>
            </w:pPr>
            <w:r w:rsidRPr="00BA665E">
              <w:rPr>
                <w:rFonts w:ascii="Times New Roman" w:hAnsi="Times New Roman" w:cs="Times New Roman"/>
                <w:sz w:val="28"/>
                <w:szCs w:val="28"/>
              </w:rPr>
              <w:t>Висока</w:t>
            </w:r>
          </w:p>
        </w:tc>
      </w:tr>
    </w:tbl>
    <w:p w14:paraId="036D5CF9" w14:textId="7D1E652C" w:rsidR="003C5F29" w:rsidRDefault="003C5F29" w:rsidP="00FB1C0A">
      <w:pPr>
        <w:pStyle w:val="af"/>
        <w:spacing w:line="360" w:lineRule="auto"/>
        <w:rPr>
          <w:rFonts w:ascii="Times New Roman" w:hAnsi="Times New Roman" w:cs="Times New Roman"/>
          <w:i/>
          <w:iCs/>
          <w:sz w:val="28"/>
          <w:szCs w:val="28"/>
        </w:rPr>
      </w:pPr>
      <w:r w:rsidRPr="003C5F29">
        <w:rPr>
          <w:rFonts w:ascii="Times New Roman" w:hAnsi="Times New Roman" w:cs="Times New Roman"/>
          <w:i/>
          <w:iCs/>
          <w:sz w:val="28"/>
          <w:szCs w:val="28"/>
        </w:rPr>
        <w:t>*ТН – Тепловий насос</w:t>
      </w:r>
    </w:p>
    <w:p w14:paraId="121C5135" w14:textId="34760446" w:rsidR="00107E42" w:rsidRDefault="00107E42" w:rsidP="00FB1C0A">
      <w:pPr>
        <w:pStyle w:val="af"/>
        <w:spacing w:line="360" w:lineRule="auto"/>
        <w:rPr>
          <w:rFonts w:ascii="Times New Roman" w:hAnsi="Times New Roman" w:cs="Times New Roman"/>
          <w:i/>
          <w:iCs/>
          <w:sz w:val="28"/>
          <w:szCs w:val="28"/>
        </w:rPr>
      </w:pPr>
      <w:r w:rsidRPr="00292C0B">
        <w:rPr>
          <w:rFonts w:ascii="Times New Roman" w:hAnsi="Times New Roman" w:cs="Times New Roman"/>
          <w:sz w:val="28"/>
          <w:szCs w:val="28"/>
        </w:rPr>
        <w:t>Таблиця 4.</w:t>
      </w:r>
      <w:r>
        <w:rPr>
          <w:rFonts w:ascii="Times New Roman" w:hAnsi="Times New Roman" w:cs="Times New Roman"/>
          <w:sz w:val="28"/>
          <w:szCs w:val="28"/>
        </w:rPr>
        <w:t>3</w:t>
      </w:r>
      <w:r w:rsidRPr="00292C0B">
        <w:rPr>
          <w:rFonts w:ascii="Times New Roman" w:hAnsi="Times New Roman" w:cs="Times New Roman"/>
          <w:sz w:val="28"/>
          <w:szCs w:val="28"/>
        </w:rPr>
        <w:t xml:space="preserve"> Порівняльна характеристика методів рекуперації скидного тепла</w:t>
      </w:r>
    </w:p>
    <w:tbl>
      <w:tblPr>
        <w:tblStyle w:val="af0"/>
        <w:tblW w:w="0" w:type="auto"/>
        <w:tblLook w:val="04A0" w:firstRow="1" w:lastRow="0" w:firstColumn="1" w:lastColumn="0" w:noHBand="0" w:noVBand="1"/>
      </w:tblPr>
      <w:tblGrid>
        <w:gridCol w:w="1688"/>
        <w:gridCol w:w="1395"/>
        <w:gridCol w:w="1643"/>
        <w:gridCol w:w="1271"/>
        <w:gridCol w:w="1505"/>
        <w:gridCol w:w="2127"/>
      </w:tblGrid>
      <w:tr w:rsidR="00BB15C8" w14:paraId="27CCAEDA" w14:textId="77777777" w:rsidTr="00BB15C8">
        <w:tc>
          <w:tcPr>
            <w:tcW w:w="1604" w:type="dxa"/>
          </w:tcPr>
          <w:p w14:paraId="36428B2C" w14:textId="041F8DC7" w:rsidR="00BB15C8" w:rsidRDefault="00DD0ECE" w:rsidP="00FB1C0A">
            <w:pPr>
              <w:pStyle w:val="af"/>
              <w:spacing w:line="360" w:lineRule="auto"/>
              <w:rPr>
                <w:rFonts w:ascii="Times New Roman" w:hAnsi="Times New Roman" w:cs="Times New Roman"/>
                <w:sz w:val="28"/>
                <w:szCs w:val="28"/>
              </w:rPr>
            </w:pPr>
            <w:r w:rsidRPr="00DD0ECE">
              <w:rPr>
                <w:rFonts w:ascii="Times New Roman" w:hAnsi="Times New Roman" w:cs="Times New Roman"/>
                <w:sz w:val="28"/>
                <w:szCs w:val="28"/>
              </w:rPr>
              <w:t>Технологія охолодження</w:t>
            </w:r>
          </w:p>
        </w:tc>
        <w:tc>
          <w:tcPr>
            <w:tcW w:w="1605" w:type="dxa"/>
          </w:tcPr>
          <w:p w14:paraId="31E1D540" w14:textId="7F2AA2A7" w:rsidR="00BB15C8" w:rsidRDefault="00DD0ECE" w:rsidP="00FB1C0A">
            <w:pPr>
              <w:pStyle w:val="af"/>
              <w:spacing w:line="360" w:lineRule="auto"/>
              <w:rPr>
                <w:rFonts w:ascii="Times New Roman" w:hAnsi="Times New Roman" w:cs="Times New Roman"/>
                <w:sz w:val="28"/>
                <w:szCs w:val="28"/>
              </w:rPr>
            </w:pPr>
            <w:r w:rsidRPr="00DD0ECE">
              <w:rPr>
                <w:rFonts w:ascii="Times New Roman" w:hAnsi="Times New Roman" w:cs="Times New Roman"/>
                <w:sz w:val="28"/>
                <w:szCs w:val="28"/>
              </w:rPr>
              <w:t>Вихідна температура (°C)</w:t>
            </w:r>
          </w:p>
        </w:tc>
        <w:tc>
          <w:tcPr>
            <w:tcW w:w="1605" w:type="dxa"/>
          </w:tcPr>
          <w:p w14:paraId="3FBECFEB" w14:textId="04B2F251" w:rsidR="00BB15C8" w:rsidRDefault="00B511A8" w:rsidP="00FB1C0A">
            <w:pPr>
              <w:pStyle w:val="af"/>
              <w:spacing w:line="360" w:lineRule="auto"/>
              <w:rPr>
                <w:rFonts w:ascii="Times New Roman" w:hAnsi="Times New Roman" w:cs="Times New Roman"/>
                <w:sz w:val="28"/>
                <w:szCs w:val="28"/>
              </w:rPr>
            </w:pPr>
            <w:r w:rsidRPr="00B511A8">
              <w:rPr>
                <w:rFonts w:ascii="Times New Roman" w:hAnsi="Times New Roman" w:cs="Times New Roman"/>
                <w:sz w:val="28"/>
                <w:szCs w:val="28"/>
              </w:rPr>
              <w:t>Потенціал рекуперації</w:t>
            </w:r>
          </w:p>
        </w:tc>
        <w:tc>
          <w:tcPr>
            <w:tcW w:w="1605" w:type="dxa"/>
          </w:tcPr>
          <w:p w14:paraId="163B31C8" w14:textId="2A5A794F" w:rsidR="00BB15C8" w:rsidRDefault="00B511A8" w:rsidP="00FB1C0A">
            <w:pPr>
              <w:pStyle w:val="af"/>
              <w:spacing w:line="360" w:lineRule="auto"/>
              <w:rPr>
                <w:rFonts w:ascii="Times New Roman" w:hAnsi="Times New Roman" w:cs="Times New Roman"/>
                <w:sz w:val="28"/>
                <w:szCs w:val="28"/>
              </w:rPr>
            </w:pPr>
            <w:r w:rsidRPr="00B511A8">
              <w:rPr>
                <w:rFonts w:ascii="Times New Roman" w:hAnsi="Times New Roman" w:cs="Times New Roman"/>
                <w:sz w:val="28"/>
                <w:szCs w:val="28"/>
              </w:rPr>
              <w:t>Складність інтеграції</w:t>
            </w:r>
          </w:p>
        </w:tc>
        <w:tc>
          <w:tcPr>
            <w:tcW w:w="1605" w:type="dxa"/>
          </w:tcPr>
          <w:p w14:paraId="77F17D1A" w14:textId="167FA618" w:rsidR="00BB15C8" w:rsidRDefault="00B511A8" w:rsidP="00FB1C0A">
            <w:pPr>
              <w:pStyle w:val="af"/>
              <w:spacing w:line="360" w:lineRule="auto"/>
              <w:rPr>
                <w:rFonts w:ascii="Times New Roman" w:hAnsi="Times New Roman" w:cs="Times New Roman"/>
                <w:sz w:val="28"/>
                <w:szCs w:val="28"/>
              </w:rPr>
            </w:pPr>
            <w:r w:rsidRPr="00B511A8">
              <w:rPr>
                <w:rFonts w:ascii="Times New Roman" w:hAnsi="Times New Roman" w:cs="Times New Roman"/>
                <w:sz w:val="28"/>
                <w:szCs w:val="28"/>
              </w:rPr>
              <w:t>Придатність для мереж DH*</w:t>
            </w:r>
          </w:p>
        </w:tc>
        <w:tc>
          <w:tcPr>
            <w:tcW w:w="1605" w:type="dxa"/>
          </w:tcPr>
          <w:p w14:paraId="0659382C" w14:textId="2E4DC767" w:rsidR="00BB15C8" w:rsidRDefault="00B511A8" w:rsidP="00FB1C0A">
            <w:pPr>
              <w:pStyle w:val="af"/>
              <w:spacing w:line="360" w:lineRule="auto"/>
              <w:rPr>
                <w:rFonts w:ascii="Times New Roman" w:hAnsi="Times New Roman" w:cs="Times New Roman"/>
                <w:sz w:val="28"/>
                <w:szCs w:val="28"/>
              </w:rPr>
            </w:pPr>
            <w:r w:rsidRPr="00B511A8">
              <w:rPr>
                <w:rFonts w:ascii="Times New Roman" w:hAnsi="Times New Roman" w:cs="Times New Roman"/>
                <w:sz w:val="28"/>
                <w:szCs w:val="28"/>
              </w:rPr>
              <w:t>Енергоефективність (COP)</w:t>
            </w:r>
          </w:p>
        </w:tc>
      </w:tr>
      <w:tr w:rsidR="00BB15C8" w14:paraId="7D1A83EA" w14:textId="77777777" w:rsidTr="00BB15C8">
        <w:tc>
          <w:tcPr>
            <w:tcW w:w="1604" w:type="dxa"/>
          </w:tcPr>
          <w:p w14:paraId="725CA3E1" w14:textId="04430F2D" w:rsidR="00BB15C8" w:rsidRDefault="00BB15C8" w:rsidP="00FB1C0A">
            <w:pPr>
              <w:pStyle w:val="af"/>
              <w:spacing w:line="360" w:lineRule="auto"/>
              <w:rPr>
                <w:rFonts w:ascii="Times New Roman" w:hAnsi="Times New Roman" w:cs="Times New Roman"/>
                <w:sz w:val="28"/>
                <w:szCs w:val="28"/>
              </w:rPr>
            </w:pPr>
            <w:r w:rsidRPr="00BB15C8">
              <w:rPr>
                <w:rFonts w:ascii="Times New Roman" w:hAnsi="Times New Roman" w:cs="Times New Roman"/>
                <w:b/>
                <w:bCs/>
                <w:sz w:val="28"/>
                <w:szCs w:val="28"/>
              </w:rPr>
              <w:t>Повітряно-водна (Air-to-Water)</w:t>
            </w:r>
          </w:p>
        </w:tc>
        <w:tc>
          <w:tcPr>
            <w:tcW w:w="1605" w:type="dxa"/>
          </w:tcPr>
          <w:p w14:paraId="6707E1E7" w14:textId="0BCBEF8F" w:rsidR="00BB15C8" w:rsidRDefault="00D437ED" w:rsidP="00FB1C0A">
            <w:pPr>
              <w:pStyle w:val="af"/>
              <w:spacing w:line="360" w:lineRule="auto"/>
              <w:rPr>
                <w:rFonts w:ascii="Times New Roman" w:hAnsi="Times New Roman" w:cs="Times New Roman"/>
                <w:sz w:val="28"/>
                <w:szCs w:val="28"/>
              </w:rPr>
            </w:pPr>
            <w:r w:rsidRPr="00D437ED">
              <w:rPr>
                <w:rFonts w:ascii="Times New Roman" w:hAnsi="Times New Roman" w:cs="Times New Roman"/>
                <w:sz w:val="28"/>
                <w:szCs w:val="28"/>
              </w:rPr>
              <w:t>30–40</w:t>
            </w:r>
          </w:p>
        </w:tc>
        <w:tc>
          <w:tcPr>
            <w:tcW w:w="1605" w:type="dxa"/>
          </w:tcPr>
          <w:p w14:paraId="34723BCD" w14:textId="3D59E134" w:rsidR="00BB15C8" w:rsidRDefault="0068151A" w:rsidP="00FB1C0A">
            <w:pPr>
              <w:pStyle w:val="af"/>
              <w:spacing w:line="360" w:lineRule="auto"/>
              <w:rPr>
                <w:rFonts w:ascii="Times New Roman" w:hAnsi="Times New Roman" w:cs="Times New Roman"/>
                <w:sz w:val="28"/>
                <w:szCs w:val="28"/>
              </w:rPr>
            </w:pPr>
            <w:r w:rsidRPr="0068151A">
              <w:rPr>
                <w:rFonts w:ascii="Times New Roman" w:hAnsi="Times New Roman" w:cs="Times New Roman"/>
                <w:sz w:val="28"/>
                <w:szCs w:val="28"/>
              </w:rPr>
              <w:t>Низький</w:t>
            </w:r>
          </w:p>
        </w:tc>
        <w:tc>
          <w:tcPr>
            <w:tcW w:w="1605" w:type="dxa"/>
          </w:tcPr>
          <w:p w14:paraId="1D6CFBFF" w14:textId="686ADBC3" w:rsidR="00BB15C8" w:rsidRDefault="0068151A" w:rsidP="00FB1C0A">
            <w:pPr>
              <w:pStyle w:val="af"/>
              <w:spacing w:line="360" w:lineRule="auto"/>
              <w:rPr>
                <w:rFonts w:ascii="Times New Roman" w:hAnsi="Times New Roman" w:cs="Times New Roman"/>
                <w:sz w:val="28"/>
                <w:szCs w:val="28"/>
              </w:rPr>
            </w:pPr>
            <w:r w:rsidRPr="0068151A">
              <w:rPr>
                <w:rFonts w:ascii="Times New Roman" w:hAnsi="Times New Roman" w:cs="Times New Roman"/>
                <w:sz w:val="28"/>
                <w:szCs w:val="28"/>
              </w:rPr>
              <w:t>Низька</w:t>
            </w:r>
          </w:p>
        </w:tc>
        <w:tc>
          <w:tcPr>
            <w:tcW w:w="1605" w:type="dxa"/>
          </w:tcPr>
          <w:p w14:paraId="790C14EA" w14:textId="7DA7A7EA" w:rsidR="00BB15C8" w:rsidRDefault="0068151A" w:rsidP="00FB1C0A">
            <w:pPr>
              <w:pStyle w:val="af"/>
              <w:spacing w:line="360" w:lineRule="auto"/>
              <w:rPr>
                <w:rFonts w:ascii="Times New Roman" w:hAnsi="Times New Roman" w:cs="Times New Roman"/>
                <w:sz w:val="28"/>
                <w:szCs w:val="28"/>
              </w:rPr>
            </w:pPr>
            <w:r w:rsidRPr="0068151A">
              <w:rPr>
                <w:rFonts w:ascii="Times New Roman" w:hAnsi="Times New Roman" w:cs="Times New Roman"/>
                <w:sz w:val="28"/>
                <w:szCs w:val="28"/>
              </w:rPr>
              <w:t>Обмежена (потребує ТН)</w:t>
            </w:r>
          </w:p>
        </w:tc>
        <w:tc>
          <w:tcPr>
            <w:tcW w:w="1605" w:type="dxa"/>
          </w:tcPr>
          <w:p w14:paraId="5F8B4673" w14:textId="23C0142C" w:rsidR="00BB15C8" w:rsidRDefault="00DA2422" w:rsidP="00FB1C0A">
            <w:pPr>
              <w:pStyle w:val="af"/>
              <w:spacing w:line="360" w:lineRule="auto"/>
              <w:rPr>
                <w:rFonts w:ascii="Times New Roman" w:hAnsi="Times New Roman" w:cs="Times New Roman"/>
                <w:sz w:val="28"/>
                <w:szCs w:val="28"/>
              </w:rPr>
            </w:pPr>
            <w:r w:rsidRPr="00DA2422">
              <w:rPr>
                <w:rFonts w:ascii="Times New Roman" w:hAnsi="Times New Roman" w:cs="Times New Roman"/>
                <w:sz w:val="28"/>
                <w:szCs w:val="28"/>
              </w:rPr>
              <w:t>2.5 – 3.5</w:t>
            </w:r>
          </w:p>
        </w:tc>
      </w:tr>
      <w:tr w:rsidR="00BB15C8" w14:paraId="08F67FE6" w14:textId="77777777" w:rsidTr="00BB15C8">
        <w:tc>
          <w:tcPr>
            <w:tcW w:w="1604" w:type="dxa"/>
          </w:tcPr>
          <w:p w14:paraId="7D43958D" w14:textId="60D99399" w:rsidR="00BB15C8" w:rsidRDefault="00DD0ECE" w:rsidP="00FB1C0A">
            <w:pPr>
              <w:pStyle w:val="af"/>
              <w:spacing w:line="360" w:lineRule="auto"/>
              <w:rPr>
                <w:rFonts w:ascii="Times New Roman" w:hAnsi="Times New Roman" w:cs="Times New Roman"/>
                <w:sz w:val="28"/>
                <w:szCs w:val="28"/>
              </w:rPr>
            </w:pPr>
            <w:r w:rsidRPr="00DD0ECE">
              <w:rPr>
                <w:rFonts w:ascii="Times New Roman" w:hAnsi="Times New Roman" w:cs="Times New Roman"/>
                <w:b/>
                <w:bCs/>
                <w:sz w:val="28"/>
                <w:szCs w:val="28"/>
              </w:rPr>
              <w:t>Рідинна (Direct-to-Chip)</w:t>
            </w:r>
          </w:p>
        </w:tc>
        <w:tc>
          <w:tcPr>
            <w:tcW w:w="1605" w:type="dxa"/>
          </w:tcPr>
          <w:p w14:paraId="24CD31A5" w14:textId="754521C8" w:rsidR="00BB15C8" w:rsidRDefault="00D437ED" w:rsidP="00FB1C0A">
            <w:pPr>
              <w:pStyle w:val="af"/>
              <w:spacing w:line="360" w:lineRule="auto"/>
              <w:rPr>
                <w:rFonts w:ascii="Times New Roman" w:hAnsi="Times New Roman" w:cs="Times New Roman"/>
                <w:sz w:val="28"/>
                <w:szCs w:val="28"/>
              </w:rPr>
            </w:pPr>
            <w:r w:rsidRPr="00D437ED">
              <w:rPr>
                <w:rFonts w:ascii="Times New Roman" w:hAnsi="Times New Roman" w:cs="Times New Roman"/>
                <w:sz w:val="28"/>
                <w:szCs w:val="28"/>
              </w:rPr>
              <w:t>50–65</w:t>
            </w:r>
          </w:p>
        </w:tc>
        <w:tc>
          <w:tcPr>
            <w:tcW w:w="1605" w:type="dxa"/>
          </w:tcPr>
          <w:p w14:paraId="6EF63E50" w14:textId="4AEFE056" w:rsidR="00BB15C8" w:rsidRDefault="00D437ED" w:rsidP="00FB1C0A">
            <w:pPr>
              <w:pStyle w:val="af"/>
              <w:spacing w:line="360" w:lineRule="auto"/>
              <w:rPr>
                <w:rFonts w:ascii="Times New Roman" w:hAnsi="Times New Roman" w:cs="Times New Roman"/>
                <w:sz w:val="28"/>
                <w:szCs w:val="28"/>
              </w:rPr>
            </w:pPr>
            <w:r w:rsidRPr="00D437ED">
              <w:rPr>
                <w:rFonts w:ascii="Times New Roman" w:hAnsi="Times New Roman" w:cs="Times New Roman"/>
                <w:sz w:val="28"/>
                <w:szCs w:val="28"/>
              </w:rPr>
              <w:t>Високий</w:t>
            </w:r>
          </w:p>
        </w:tc>
        <w:tc>
          <w:tcPr>
            <w:tcW w:w="1605" w:type="dxa"/>
          </w:tcPr>
          <w:p w14:paraId="77C165D1" w14:textId="6575B502" w:rsidR="00BB15C8" w:rsidRDefault="00D437ED" w:rsidP="00FB1C0A">
            <w:pPr>
              <w:pStyle w:val="af"/>
              <w:spacing w:line="360" w:lineRule="auto"/>
              <w:rPr>
                <w:rFonts w:ascii="Times New Roman" w:hAnsi="Times New Roman" w:cs="Times New Roman"/>
                <w:sz w:val="28"/>
                <w:szCs w:val="28"/>
              </w:rPr>
            </w:pPr>
            <w:r w:rsidRPr="00D437ED">
              <w:rPr>
                <w:rFonts w:ascii="Times New Roman" w:hAnsi="Times New Roman" w:cs="Times New Roman"/>
                <w:sz w:val="28"/>
                <w:szCs w:val="28"/>
              </w:rPr>
              <w:t>Середня</w:t>
            </w:r>
          </w:p>
        </w:tc>
        <w:tc>
          <w:tcPr>
            <w:tcW w:w="1605" w:type="dxa"/>
          </w:tcPr>
          <w:p w14:paraId="516BEC59" w14:textId="53EA95D0" w:rsidR="00BB15C8" w:rsidRDefault="002A31A9" w:rsidP="00FB1C0A">
            <w:pPr>
              <w:pStyle w:val="af"/>
              <w:spacing w:line="360" w:lineRule="auto"/>
              <w:rPr>
                <w:rFonts w:ascii="Times New Roman" w:hAnsi="Times New Roman" w:cs="Times New Roman"/>
                <w:sz w:val="28"/>
                <w:szCs w:val="28"/>
              </w:rPr>
            </w:pPr>
            <w:r w:rsidRPr="002A31A9">
              <w:rPr>
                <w:rFonts w:ascii="Times New Roman" w:hAnsi="Times New Roman" w:cs="Times New Roman"/>
                <w:sz w:val="28"/>
                <w:szCs w:val="28"/>
              </w:rPr>
              <w:t>Висока (пряма)</w:t>
            </w:r>
          </w:p>
        </w:tc>
        <w:tc>
          <w:tcPr>
            <w:tcW w:w="1605" w:type="dxa"/>
          </w:tcPr>
          <w:p w14:paraId="3457020D" w14:textId="72DE412B" w:rsidR="00BB15C8" w:rsidRDefault="000662EA" w:rsidP="00FB1C0A">
            <w:pPr>
              <w:pStyle w:val="af"/>
              <w:spacing w:line="360" w:lineRule="auto"/>
              <w:rPr>
                <w:rFonts w:ascii="Times New Roman" w:hAnsi="Times New Roman" w:cs="Times New Roman"/>
                <w:sz w:val="28"/>
                <w:szCs w:val="28"/>
              </w:rPr>
            </w:pPr>
            <w:r w:rsidRPr="000662EA">
              <w:rPr>
                <w:rFonts w:ascii="Times New Roman" w:hAnsi="Times New Roman" w:cs="Times New Roman"/>
                <w:sz w:val="28"/>
                <w:szCs w:val="28"/>
              </w:rPr>
              <w:t>4.5 – 6.0</w:t>
            </w:r>
          </w:p>
        </w:tc>
      </w:tr>
      <w:tr w:rsidR="00BB15C8" w14:paraId="693F68EE" w14:textId="77777777" w:rsidTr="00BB15C8">
        <w:tc>
          <w:tcPr>
            <w:tcW w:w="1604" w:type="dxa"/>
          </w:tcPr>
          <w:p w14:paraId="73953F7E" w14:textId="71B008AB" w:rsidR="00BB15C8" w:rsidRDefault="00DD0ECE" w:rsidP="00FB1C0A">
            <w:pPr>
              <w:pStyle w:val="af"/>
              <w:spacing w:line="360" w:lineRule="auto"/>
              <w:rPr>
                <w:rFonts w:ascii="Times New Roman" w:hAnsi="Times New Roman" w:cs="Times New Roman"/>
                <w:sz w:val="28"/>
                <w:szCs w:val="28"/>
              </w:rPr>
            </w:pPr>
            <w:r w:rsidRPr="00DD0ECE">
              <w:rPr>
                <w:rFonts w:ascii="Times New Roman" w:hAnsi="Times New Roman" w:cs="Times New Roman"/>
                <w:b/>
                <w:bCs/>
                <w:sz w:val="28"/>
                <w:szCs w:val="28"/>
              </w:rPr>
              <w:t>Занурювальна (Immersion)</w:t>
            </w:r>
          </w:p>
        </w:tc>
        <w:tc>
          <w:tcPr>
            <w:tcW w:w="1605" w:type="dxa"/>
          </w:tcPr>
          <w:p w14:paraId="3FB1B3AB" w14:textId="41E2C60E" w:rsidR="00BB15C8" w:rsidRDefault="000662EA" w:rsidP="00FB1C0A">
            <w:pPr>
              <w:pStyle w:val="af"/>
              <w:spacing w:line="360" w:lineRule="auto"/>
              <w:rPr>
                <w:rFonts w:ascii="Times New Roman" w:hAnsi="Times New Roman" w:cs="Times New Roman"/>
                <w:sz w:val="28"/>
                <w:szCs w:val="28"/>
              </w:rPr>
            </w:pPr>
            <w:r w:rsidRPr="000662EA">
              <w:rPr>
                <w:rFonts w:ascii="Times New Roman" w:hAnsi="Times New Roman" w:cs="Times New Roman"/>
                <w:sz w:val="28"/>
                <w:szCs w:val="28"/>
              </w:rPr>
              <w:t>55–70</w:t>
            </w:r>
          </w:p>
        </w:tc>
        <w:tc>
          <w:tcPr>
            <w:tcW w:w="1605" w:type="dxa"/>
          </w:tcPr>
          <w:p w14:paraId="1F467A5E" w14:textId="499DFC0E" w:rsidR="00BB15C8" w:rsidRDefault="000662EA" w:rsidP="00FB1C0A">
            <w:pPr>
              <w:pStyle w:val="af"/>
              <w:spacing w:line="360" w:lineRule="auto"/>
              <w:rPr>
                <w:rFonts w:ascii="Times New Roman" w:hAnsi="Times New Roman" w:cs="Times New Roman"/>
                <w:sz w:val="28"/>
                <w:szCs w:val="28"/>
              </w:rPr>
            </w:pPr>
            <w:r w:rsidRPr="000662EA">
              <w:rPr>
                <w:rFonts w:ascii="Times New Roman" w:hAnsi="Times New Roman" w:cs="Times New Roman"/>
                <w:sz w:val="28"/>
                <w:szCs w:val="28"/>
              </w:rPr>
              <w:t>Максимальний</w:t>
            </w:r>
          </w:p>
        </w:tc>
        <w:tc>
          <w:tcPr>
            <w:tcW w:w="1605" w:type="dxa"/>
          </w:tcPr>
          <w:p w14:paraId="6DD13A6B" w14:textId="7511E7AE" w:rsidR="00BB15C8" w:rsidRDefault="002A31A9" w:rsidP="00FB1C0A">
            <w:pPr>
              <w:pStyle w:val="af"/>
              <w:spacing w:line="360" w:lineRule="auto"/>
              <w:rPr>
                <w:rFonts w:ascii="Times New Roman" w:hAnsi="Times New Roman" w:cs="Times New Roman"/>
                <w:sz w:val="28"/>
                <w:szCs w:val="28"/>
              </w:rPr>
            </w:pPr>
            <w:r w:rsidRPr="002A31A9">
              <w:rPr>
                <w:rFonts w:ascii="Times New Roman" w:hAnsi="Times New Roman" w:cs="Times New Roman"/>
                <w:sz w:val="28"/>
                <w:szCs w:val="28"/>
              </w:rPr>
              <w:t>Висока</w:t>
            </w:r>
          </w:p>
        </w:tc>
        <w:tc>
          <w:tcPr>
            <w:tcW w:w="1605" w:type="dxa"/>
          </w:tcPr>
          <w:p w14:paraId="2D841C77" w14:textId="77777777" w:rsidR="002A31A9" w:rsidRPr="002A31A9" w:rsidRDefault="002A31A9" w:rsidP="002A31A9">
            <w:pPr>
              <w:pStyle w:val="af"/>
              <w:rPr>
                <w:rFonts w:ascii="Times New Roman" w:hAnsi="Times New Roman" w:cs="Times New Roman"/>
                <w:sz w:val="28"/>
                <w:szCs w:val="28"/>
              </w:rPr>
            </w:pPr>
            <w:r>
              <w:rPr>
                <w:rFonts w:ascii="Roboto" w:hAnsi="Roboto"/>
                <w:sz w:val="21"/>
                <w:szCs w:val="21"/>
              </w:rPr>
              <w:br/>
            </w:r>
            <w:r w:rsidRPr="002A31A9">
              <w:rPr>
                <w:rFonts w:ascii="Times New Roman" w:hAnsi="Times New Roman" w:cs="Times New Roman"/>
                <w:sz w:val="28"/>
                <w:szCs w:val="28"/>
              </w:rPr>
              <w:t>Максимальна</w:t>
            </w:r>
          </w:p>
          <w:p w14:paraId="0EBB05A6" w14:textId="77777777" w:rsidR="00BB15C8" w:rsidRDefault="00BB15C8" w:rsidP="00FB1C0A">
            <w:pPr>
              <w:pStyle w:val="af"/>
              <w:spacing w:line="360" w:lineRule="auto"/>
              <w:rPr>
                <w:rFonts w:ascii="Times New Roman" w:hAnsi="Times New Roman" w:cs="Times New Roman"/>
                <w:sz w:val="28"/>
                <w:szCs w:val="28"/>
              </w:rPr>
            </w:pPr>
          </w:p>
        </w:tc>
        <w:tc>
          <w:tcPr>
            <w:tcW w:w="1605" w:type="dxa"/>
          </w:tcPr>
          <w:p w14:paraId="37D45EA3" w14:textId="32FF9F7F" w:rsidR="00BB15C8" w:rsidRDefault="000662EA" w:rsidP="00FB1C0A">
            <w:pPr>
              <w:pStyle w:val="af"/>
              <w:spacing w:line="360" w:lineRule="auto"/>
              <w:rPr>
                <w:rFonts w:ascii="Times New Roman" w:hAnsi="Times New Roman" w:cs="Times New Roman"/>
                <w:sz w:val="28"/>
                <w:szCs w:val="28"/>
              </w:rPr>
            </w:pPr>
            <w:r w:rsidRPr="000662EA">
              <w:rPr>
                <w:rFonts w:ascii="Times New Roman" w:hAnsi="Times New Roman" w:cs="Times New Roman"/>
                <w:sz w:val="28"/>
                <w:szCs w:val="28"/>
              </w:rPr>
              <w:t>6.0 – 8.0</w:t>
            </w:r>
          </w:p>
        </w:tc>
      </w:tr>
    </w:tbl>
    <w:p w14:paraId="4AD09AF7" w14:textId="25EA9C2C" w:rsidR="00614D79" w:rsidRDefault="00614D79" w:rsidP="00FB1C0A">
      <w:pPr>
        <w:pStyle w:val="af"/>
        <w:spacing w:line="360" w:lineRule="auto"/>
        <w:rPr>
          <w:rFonts w:ascii="Times New Roman" w:hAnsi="Times New Roman" w:cs="Times New Roman"/>
          <w:sz w:val="28"/>
          <w:szCs w:val="28"/>
        </w:rPr>
      </w:pPr>
    </w:p>
    <w:p w14:paraId="1234EEE4" w14:textId="380AD394" w:rsidR="00CB2DE1" w:rsidRDefault="00CB2DE1" w:rsidP="00FB1C0A">
      <w:pPr>
        <w:pStyle w:val="af"/>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537365EF" w14:textId="77777777" w:rsidR="00107E42" w:rsidRDefault="00107E42" w:rsidP="00107E42">
      <w:pPr>
        <w:pStyle w:val="af"/>
        <w:spacing w:line="360" w:lineRule="auto"/>
        <w:rPr>
          <w:rFonts w:ascii="Times New Roman" w:hAnsi="Times New Roman" w:cs="Times New Roman"/>
          <w:sz w:val="28"/>
          <w:szCs w:val="28"/>
        </w:rPr>
      </w:pPr>
      <w:r w:rsidRPr="00B66B4C">
        <w:rPr>
          <w:rFonts w:ascii="Times New Roman" w:hAnsi="Times New Roman" w:cs="Times New Roman"/>
          <w:sz w:val="28"/>
          <w:szCs w:val="28"/>
        </w:rPr>
        <w:lastRenderedPageBreak/>
        <w:t xml:space="preserve">Таблиця </w:t>
      </w:r>
      <w:r>
        <w:rPr>
          <w:rFonts w:ascii="Times New Roman" w:hAnsi="Times New Roman" w:cs="Times New Roman"/>
          <w:sz w:val="28"/>
          <w:szCs w:val="28"/>
        </w:rPr>
        <w:t>4.4</w:t>
      </w:r>
      <w:r w:rsidRPr="00B66B4C">
        <w:rPr>
          <w:rFonts w:ascii="Times New Roman" w:hAnsi="Times New Roman" w:cs="Times New Roman"/>
          <w:sz w:val="28"/>
          <w:szCs w:val="28"/>
        </w:rPr>
        <w:t>. Порівняльний аналіз техніко-економічних показників для різних масштабів ЦОД</w:t>
      </w:r>
    </w:p>
    <w:tbl>
      <w:tblPr>
        <w:tblStyle w:val="af0"/>
        <w:tblW w:w="0" w:type="auto"/>
        <w:tblLook w:val="04A0" w:firstRow="1" w:lastRow="0" w:firstColumn="1" w:lastColumn="0" w:noHBand="0" w:noVBand="1"/>
      </w:tblPr>
      <w:tblGrid>
        <w:gridCol w:w="2367"/>
        <w:gridCol w:w="2158"/>
        <w:gridCol w:w="2057"/>
        <w:gridCol w:w="1325"/>
        <w:gridCol w:w="1722"/>
      </w:tblGrid>
      <w:tr w:rsidR="00CB2DE1" w14:paraId="0C380D38" w14:textId="77777777" w:rsidTr="00107E42">
        <w:tc>
          <w:tcPr>
            <w:tcW w:w="2367" w:type="dxa"/>
          </w:tcPr>
          <w:p w14:paraId="1CBE1AFF" w14:textId="393854FC" w:rsidR="00CB2DE1" w:rsidRDefault="009457F6" w:rsidP="00FB1C0A">
            <w:pPr>
              <w:pStyle w:val="af"/>
              <w:spacing w:line="360" w:lineRule="auto"/>
              <w:rPr>
                <w:rFonts w:ascii="Times New Roman" w:hAnsi="Times New Roman" w:cs="Times New Roman"/>
                <w:sz w:val="28"/>
                <w:szCs w:val="28"/>
              </w:rPr>
            </w:pPr>
            <w:r w:rsidRPr="009457F6">
              <w:rPr>
                <w:rFonts w:ascii="Times New Roman" w:hAnsi="Times New Roman" w:cs="Times New Roman"/>
                <w:sz w:val="28"/>
                <w:szCs w:val="28"/>
              </w:rPr>
              <w:t>Масштаб ЦОД</w:t>
            </w:r>
          </w:p>
        </w:tc>
        <w:tc>
          <w:tcPr>
            <w:tcW w:w="2158" w:type="dxa"/>
          </w:tcPr>
          <w:p w14:paraId="441E62C8" w14:textId="2DC4C7C0" w:rsidR="00CB2DE1" w:rsidRDefault="009457F6" w:rsidP="00FB1C0A">
            <w:pPr>
              <w:pStyle w:val="af"/>
              <w:spacing w:line="360" w:lineRule="auto"/>
              <w:rPr>
                <w:rFonts w:ascii="Times New Roman" w:hAnsi="Times New Roman" w:cs="Times New Roman"/>
                <w:sz w:val="28"/>
                <w:szCs w:val="28"/>
              </w:rPr>
            </w:pPr>
            <w:r w:rsidRPr="009457F6">
              <w:rPr>
                <w:rFonts w:ascii="Times New Roman" w:hAnsi="Times New Roman" w:cs="Times New Roman"/>
                <w:sz w:val="28"/>
                <w:szCs w:val="28"/>
              </w:rPr>
              <w:t>Основні CapEx-драйвери</w:t>
            </w:r>
          </w:p>
        </w:tc>
        <w:tc>
          <w:tcPr>
            <w:tcW w:w="2057" w:type="dxa"/>
          </w:tcPr>
          <w:p w14:paraId="5CC06AB2" w14:textId="1BFA96EE" w:rsidR="00CB2DE1" w:rsidRDefault="009457F6" w:rsidP="00FB1C0A">
            <w:pPr>
              <w:pStyle w:val="af"/>
              <w:spacing w:line="360" w:lineRule="auto"/>
              <w:rPr>
                <w:rFonts w:ascii="Times New Roman" w:hAnsi="Times New Roman" w:cs="Times New Roman"/>
                <w:sz w:val="28"/>
                <w:szCs w:val="28"/>
              </w:rPr>
            </w:pPr>
            <w:r w:rsidRPr="009457F6">
              <w:rPr>
                <w:rFonts w:ascii="Times New Roman" w:hAnsi="Times New Roman" w:cs="Times New Roman"/>
                <w:sz w:val="28"/>
                <w:szCs w:val="28"/>
              </w:rPr>
              <w:t>Основні OpEx-драйвери</w:t>
            </w:r>
          </w:p>
        </w:tc>
        <w:tc>
          <w:tcPr>
            <w:tcW w:w="1325" w:type="dxa"/>
          </w:tcPr>
          <w:p w14:paraId="5CCA18E9" w14:textId="35B0F461" w:rsidR="00CB2DE1" w:rsidRDefault="009531B6" w:rsidP="00FB1C0A">
            <w:pPr>
              <w:pStyle w:val="af"/>
              <w:spacing w:line="360" w:lineRule="auto"/>
              <w:rPr>
                <w:rFonts w:ascii="Times New Roman" w:hAnsi="Times New Roman" w:cs="Times New Roman"/>
                <w:sz w:val="28"/>
                <w:szCs w:val="28"/>
              </w:rPr>
            </w:pPr>
            <w:r w:rsidRPr="009531B6">
              <w:rPr>
                <w:rFonts w:ascii="Times New Roman" w:hAnsi="Times New Roman" w:cs="Times New Roman"/>
                <w:sz w:val="28"/>
                <w:szCs w:val="28"/>
              </w:rPr>
              <w:t>Термін окупності (Payback Period)</w:t>
            </w:r>
          </w:p>
        </w:tc>
        <w:tc>
          <w:tcPr>
            <w:tcW w:w="1722" w:type="dxa"/>
          </w:tcPr>
          <w:p w14:paraId="502A9236" w14:textId="3C2C20EE" w:rsidR="00CB2DE1" w:rsidRDefault="009531B6" w:rsidP="00FB1C0A">
            <w:pPr>
              <w:pStyle w:val="af"/>
              <w:spacing w:line="360" w:lineRule="auto"/>
              <w:rPr>
                <w:rFonts w:ascii="Times New Roman" w:hAnsi="Times New Roman" w:cs="Times New Roman"/>
                <w:sz w:val="28"/>
                <w:szCs w:val="28"/>
              </w:rPr>
            </w:pPr>
            <w:r w:rsidRPr="009531B6">
              <w:rPr>
                <w:rFonts w:ascii="Times New Roman" w:hAnsi="Times New Roman" w:cs="Times New Roman"/>
                <w:sz w:val="28"/>
                <w:szCs w:val="28"/>
              </w:rPr>
              <w:t>Стратегічний ефект</w:t>
            </w:r>
          </w:p>
        </w:tc>
      </w:tr>
      <w:tr w:rsidR="00CB2DE1" w14:paraId="2B988B47" w14:textId="77777777" w:rsidTr="00107E42">
        <w:tc>
          <w:tcPr>
            <w:tcW w:w="2367" w:type="dxa"/>
          </w:tcPr>
          <w:p w14:paraId="5D5FCA86" w14:textId="739D30C0" w:rsidR="00CB2DE1" w:rsidRDefault="00122A03" w:rsidP="00FB1C0A">
            <w:pPr>
              <w:pStyle w:val="af"/>
              <w:spacing w:line="360" w:lineRule="auto"/>
              <w:rPr>
                <w:rFonts w:ascii="Times New Roman" w:hAnsi="Times New Roman" w:cs="Times New Roman"/>
                <w:sz w:val="28"/>
                <w:szCs w:val="28"/>
              </w:rPr>
            </w:pPr>
            <w:r w:rsidRPr="00122A03">
              <w:rPr>
                <w:rFonts w:ascii="Times New Roman" w:hAnsi="Times New Roman" w:cs="Times New Roman"/>
                <w:b/>
                <w:bCs/>
                <w:sz w:val="28"/>
                <w:szCs w:val="28"/>
              </w:rPr>
              <w:t>Малий (Edge)</w:t>
            </w:r>
          </w:p>
        </w:tc>
        <w:tc>
          <w:tcPr>
            <w:tcW w:w="2158" w:type="dxa"/>
          </w:tcPr>
          <w:p w14:paraId="3EE964D3" w14:textId="451E1208" w:rsidR="00CB2DE1" w:rsidRDefault="00122A03" w:rsidP="00FB1C0A">
            <w:pPr>
              <w:pStyle w:val="af"/>
              <w:spacing w:line="360" w:lineRule="auto"/>
              <w:rPr>
                <w:rFonts w:ascii="Times New Roman" w:hAnsi="Times New Roman" w:cs="Times New Roman"/>
                <w:sz w:val="28"/>
                <w:szCs w:val="28"/>
              </w:rPr>
            </w:pPr>
            <w:r w:rsidRPr="00122A03">
              <w:rPr>
                <w:rFonts w:ascii="Times New Roman" w:hAnsi="Times New Roman" w:cs="Times New Roman"/>
                <w:sz w:val="28"/>
                <w:szCs w:val="28"/>
              </w:rPr>
              <w:t>Теплообмінники, автоматика</w:t>
            </w:r>
          </w:p>
        </w:tc>
        <w:tc>
          <w:tcPr>
            <w:tcW w:w="2057" w:type="dxa"/>
          </w:tcPr>
          <w:p w14:paraId="1ACDCCF2" w14:textId="772E27B0" w:rsidR="00CB2DE1" w:rsidRDefault="00B43497" w:rsidP="00FB1C0A">
            <w:pPr>
              <w:pStyle w:val="af"/>
              <w:spacing w:line="360" w:lineRule="auto"/>
              <w:rPr>
                <w:rFonts w:ascii="Times New Roman" w:hAnsi="Times New Roman" w:cs="Times New Roman"/>
                <w:sz w:val="28"/>
                <w:szCs w:val="28"/>
              </w:rPr>
            </w:pPr>
            <w:r w:rsidRPr="00B43497">
              <w:rPr>
                <w:rFonts w:ascii="Times New Roman" w:hAnsi="Times New Roman" w:cs="Times New Roman"/>
                <w:sz w:val="28"/>
                <w:szCs w:val="28"/>
              </w:rPr>
              <w:t>Обслуговування насосів</w:t>
            </w:r>
          </w:p>
        </w:tc>
        <w:tc>
          <w:tcPr>
            <w:tcW w:w="1325" w:type="dxa"/>
          </w:tcPr>
          <w:p w14:paraId="643C0EAB" w14:textId="656411E9" w:rsidR="00CB2DE1" w:rsidRDefault="00B43497" w:rsidP="00FB1C0A">
            <w:pPr>
              <w:pStyle w:val="af"/>
              <w:spacing w:line="360" w:lineRule="auto"/>
              <w:rPr>
                <w:rFonts w:ascii="Times New Roman" w:hAnsi="Times New Roman" w:cs="Times New Roman"/>
                <w:sz w:val="28"/>
                <w:szCs w:val="28"/>
              </w:rPr>
            </w:pPr>
            <w:r w:rsidRPr="00B43497">
              <w:rPr>
                <w:rFonts w:ascii="Times New Roman" w:hAnsi="Times New Roman" w:cs="Times New Roman"/>
                <w:sz w:val="28"/>
                <w:szCs w:val="28"/>
              </w:rPr>
              <w:t>5–7 років</w:t>
            </w:r>
          </w:p>
        </w:tc>
        <w:tc>
          <w:tcPr>
            <w:tcW w:w="1722" w:type="dxa"/>
          </w:tcPr>
          <w:p w14:paraId="6F0B9D25" w14:textId="4325B081" w:rsidR="00CB2DE1" w:rsidRDefault="009531B6" w:rsidP="00FB1C0A">
            <w:pPr>
              <w:pStyle w:val="af"/>
              <w:spacing w:line="360" w:lineRule="auto"/>
              <w:rPr>
                <w:rFonts w:ascii="Times New Roman" w:hAnsi="Times New Roman" w:cs="Times New Roman"/>
                <w:sz w:val="28"/>
                <w:szCs w:val="28"/>
              </w:rPr>
            </w:pPr>
            <w:r w:rsidRPr="009531B6">
              <w:rPr>
                <w:rFonts w:ascii="Times New Roman" w:hAnsi="Times New Roman" w:cs="Times New Roman"/>
                <w:sz w:val="28"/>
                <w:szCs w:val="28"/>
              </w:rPr>
              <w:t>Висока гнучкість, швидка реалізація</w:t>
            </w:r>
          </w:p>
        </w:tc>
      </w:tr>
      <w:tr w:rsidR="00CB2DE1" w14:paraId="0229B8C2" w14:textId="77777777" w:rsidTr="00107E42">
        <w:tc>
          <w:tcPr>
            <w:tcW w:w="2367" w:type="dxa"/>
          </w:tcPr>
          <w:p w14:paraId="1623FFEF" w14:textId="1B16F618" w:rsidR="00CB2DE1" w:rsidRDefault="00CF7986" w:rsidP="00FB1C0A">
            <w:pPr>
              <w:pStyle w:val="af"/>
              <w:spacing w:line="360" w:lineRule="auto"/>
              <w:rPr>
                <w:rFonts w:ascii="Times New Roman" w:hAnsi="Times New Roman" w:cs="Times New Roman"/>
                <w:sz w:val="28"/>
                <w:szCs w:val="28"/>
              </w:rPr>
            </w:pPr>
            <w:r w:rsidRPr="00CF7986">
              <w:rPr>
                <w:rFonts w:ascii="Times New Roman" w:hAnsi="Times New Roman" w:cs="Times New Roman"/>
                <w:b/>
                <w:bCs/>
                <w:sz w:val="28"/>
                <w:szCs w:val="28"/>
              </w:rPr>
              <w:t>Середній (Colo)</w:t>
            </w:r>
          </w:p>
        </w:tc>
        <w:tc>
          <w:tcPr>
            <w:tcW w:w="2158" w:type="dxa"/>
          </w:tcPr>
          <w:p w14:paraId="7E1E1ED4" w14:textId="2411F958" w:rsidR="00CB2DE1" w:rsidRDefault="00122A03" w:rsidP="00FB1C0A">
            <w:pPr>
              <w:pStyle w:val="af"/>
              <w:spacing w:line="360" w:lineRule="auto"/>
              <w:rPr>
                <w:rFonts w:ascii="Times New Roman" w:hAnsi="Times New Roman" w:cs="Times New Roman"/>
                <w:sz w:val="28"/>
                <w:szCs w:val="28"/>
              </w:rPr>
            </w:pPr>
            <w:r w:rsidRPr="00122A03">
              <w:rPr>
                <w:rFonts w:ascii="Times New Roman" w:hAnsi="Times New Roman" w:cs="Times New Roman"/>
                <w:sz w:val="28"/>
                <w:szCs w:val="28"/>
              </w:rPr>
              <w:t>Теплові насоси, мережеві комунікації</w:t>
            </w:r>
          </w:p>
        </w:tc>
        <w:tc>
          <w:tcPr>
            <w:tcW w:w="2057" w:type="dxa"/>
          </w:tcPr>
          <w:p w14:paraId="6491B542" w14:textId="0F97FD70" w:rsidR="00CB2DE1" w:rsidRDefault="00B43497" w:rsidP="00FB1C0A">
            <w:pPr>
              <w:pStyle w:val="af"/>
              <w:spacing w:line="360" w:lineRule="auto"/>
              <w:rPr>
                <w:rFonts w:ascii="Times New Roman" w:hAnsi="Times New Roman" w:cs="Times New Roman"/>
                <w:sz w:val="28"/>
                <w:szCs w:val="28"/>
              </w:rPr>
            </w:pPr>
            <w:r w:rsidRPr="00B43497">
              <w:rPr>
                <w:rFonts w:ascii="Times New Roman" w:hAnsi="Times New Roman" w:cs="Times New Roman"/>
                <w:sz w:val="28"/>
                <w:szCs w:val="28"/>
              </w:rPr>
              <w:t>Електроенергія, моніторинг</w:t>
            </w:r>
          </w:p>
        </w:tc>
        <w:tc>
          <w:tcPr>
            <w:tcW w:w="1325" w:type="dxa"/>
          </w:tcPr>
          <w:p w14:paraId="44E383C3" w14:textId="2B84E51A" w:rsidR="00CB2DE1" w:rsidRDefault="00B82331" w:rsidP="00FB1C0A">
            <w:pPr>
              <w:pStyle w:val="af"/>
              <w:spacing w:line="360" w:lineRule="auto"/>
              <w:rPr>
                <w:rFonts w:ascii="Times New Roman" w:hAnsi="Times New Roman" w:cs="Times New Roman"/>
                <w:sz w:val="28"/>
                <w:szCs w:val="28"/>
              </w:rPr>
            </w:pPr>
            <w:r w:rsidRPr="00B82331">
              <w:rPr>
                <w:rFonts w:ascii="Times New Roman" w:hAnsi="Times New Roman" w:cs="Times New Roman"/>
                <w:sz w:val="28"/>
                <w:szCs w:val="28"/>
              </w:rPr>
              <w:t>6–9 років</w:t>
            </w:r>
          </w:p>
        </w:tc>
        <w:tc>
          <w:tcPr>
            <w:tcW w:w="1722" w:type="dxa"/>
          </w:tcPr>
          <w:p w14:paraId="6742A10F" w14:textId="4719B181" w:rsidR="00CB2DE1" w:rsidRDefault="00B82331" w:rsidP="00FB1C0A">
            <w:pPr>
              <w:pStyle w:val="af"/>
              <w:spacing w:line="360" w:lineRule="auto"/>
              <w:rPr>
                <w:rFonts w:ascii="Times New Roman" w:hAnsi="Times New Roman" w:cs="Times New Roman"/>
                <w:sz w:val="28"/>
                <w:szCs w:val="28"/>
              </w:rPr>
            </w:pPr>
            <w:r w:rsidRPr="00B82331">
              <w:rPr>
                <w:rFonts w:ascii="Times New Roman" w:hAnsi="Times New Roman" w:cs="Times New Roman"/>
                <w:sz w:val="28"/>
                <w:szCs w:val="28"/>
              </w:rPr>
              <w:t>Стабільний дохід від продажу тепла</w:t>
            </w:r>
          </w:p>
        </w:tc>
      </w:tr>
      <w:tr w:rsidR="00CB2DE1" w14:paraId="4484B4AA" w14:textId="77777777" w:rsidTr="00107E42">
        <w:tc>
          <w:tcPr>
            <w:tcW w:w="2367" w:type="dxa"/>
          </w:tcPr>
          <w:p w14:paraId="15A1AB11" w14:textId="3380844B" w:rsidR="00CB2DE1" w:rsidRDefault="00CF7986" w:rsidP="00FB1C0A">
            <w:pPr>
              <w:pStyle w:val="af"/>
              <w:spacing w:line="360" w:lineRule="auto"/>
              <w:rPr>
                <w:rFonts w:ascii="Times New Roman" w:hAnsi="Times New Roman" w:cs="Times New Roman"/>
                <w:sz w:val="28"/>
                <w:szCs w:val="28"/>
              </w:rPr>
            </w:pPr>
            <w:r w:rsidRPr="00CF7986">
              <w:rPr>
                <w:rFonts w:ascii="Times New Roman" w:hAnsi="Times New Roman" w:cs="Times New Roman"/>
                <w:b/>
                <w:bCs/>
                <w:sz w:val="28"/>
                <w:szCs w:val="28"/>
              </w:rPr>
              <w:t>Гіпермасштабний</w:t>
            </w:r>
          </w:p>
        </w:tc>
        <w:tc>
          <w:tcPr>
            <w:tcW w:w="2158" w:type="dxa"/>
          </w:tcPr>
          <w:p w14:paraId="762C74AE" w14:textId="0DEF37F4" w:rsidR="00CB2DE1" w:rsidRDefault="00CF7986" w:rsidP="00FB1C0A">
            <w:pPr>
              <w:pStyle w:val="af"/>
              <w:spacing w:line="360" w:lineRule="auto"/>
              <w:rPr>
                <w:rFonts w:ascii="Times New Roman" w:hAnsi="Times New Roman" w:cs="Times New Roman"/>
                <w:sz w:val="28"/>
                <w:szCs w:val="28"/>
              </w:rPr>
            </w:pPr>
            <w:r w:rsidRPr="00CF7986">
              <w:rPr>
                <w:rFonts w:ascii="Times New Roman" w:hAnsi="Times New Roman" w:cs="Times New Roman"/>
                <w:sz w:val="28"/>
                <w:szCs w:val="28"/>
              </w:rPr>
              <w:t>Інфраструктурні магістралі, ТН великої потужності</w:t>
            </w:r>
          </w:p>
        </w:tc>
        <w:tc>
          <w:tcPr>
            <w:tcW w:w="2057" w:type="dxa"/>
          </w:tcPr>
          <w:p w14:paraId="22852F53" w14:textId="7FF16DA4" w:rsidR="00CB2DE1" w:rsidRDefault="00F96A49" w:rsidP="00FB1C0A">
            <w:pPr>
              <w:pStyle w:val="af"/>
              <w:spacing w:line="360" w:lineRule="auto"/>
              <w:rPr>
                <w:rFonts w:ascii="Times New Roman" w:hAnsi="Times New Roman" w:cs="Times New Roman"/>
                <w:sz w:val="28"/>
                <w:szCs w:val="28"/>
              </w:rPr>
            </w:pPr>
            <w:r w:rsidRPr="00F96A49">
              <w:rPr>
                <w:rFonts w:ascii="Times New Roman" w:hAnsi="Times New Roman" w:cs="Times New Roman"/>
                <w:sz w:val="28"/>
                <w:szCs w:val="28"/>
              </w:rPr>
              <w:t>Моніторинг, інтеграція в ГМ*</w:t>
            </w:r>
          </w:p>
        </w:tc>
        <w:tc>
          <w:tcPr>
            <w:tcW w:w="1325" w:type="dxa"/>
          </w:tcPr>
          <w:p w14:paraId="6A753D38" w14:textId="35059D2C" w:rsidR="00CB2DE1" w:rsidRDefault="00F96A49" w:rsidP="00FB1C0A">
            <w:pPr>
              <w:pStyle w:val="af"/>
              <w:spacing w:line="360" w:lineRule="auto"/>
              <w:rPr>
                <w:rFonts w:ascii="Times New Roman" w:hAnsi="Times New Roman" w:cs="Times New Roman"/>
                <w:sz w:val="28"/>
                <w:szCs w:val="28"/>
              </w:rPr>
            </w:pPr>
            <w:r w:rsidRPr="00F96A49">
              <w:rPr>
                <w:rFonts w:ascii="Times New Roman" w:hAnsi="Times New Roman" w:cs="Times New Roman"/>
                <w:sz w:val="28"/>
                <w:szCs w:val="28"/>
              </w:rPr>
              <w:t>8–12 років</w:t>
            </w:r>
          </w:p>
        </w:tc>
        <w:tc>
          <w:tcPr>
            <w:tcW w:w="1722" w:type="dxa"/>
          </w:tcPr>
          <w:p w14:paraId="2EBA84C8" w14:textId="33C8095E" w:rsidR="00CB2DE1" w:rsidRDefault="00F96A49" w:rsidP="00FB1C0A">
            <w:pPr>
              <w:pStyle w:val="af"/>
              <w:spacing w:line="360" w:lineRule="auto"/>
              <w:rPr>
                <w:rFonts w:ascii="Times New Roman" w:hAnsi="Times New Roman" w:cs="Times New Roman"/>
                <w:sz w:val="28"/>
                <w:szCs w:val="28"/>
              </w:rPr>
            </w:pPr>
            <w:r w:rsidRPr="00F96A49">
              <w:rPr>
                <w:rFonts w:ascii="Times New Roman" w:hAnsi="Times New Roman" w:cs="Times New Roman"/>
                <w:sz w:val="28"/>
                <w:szCs w:val="28"/>
              </w:rPr>
              <w:t>Значне зниження ESG-ризиків, масштабна економія</w:t>
            </w:r>
          </w:p>
        </w:tc>
      </w:tr>
    </w:tbl>
    <w:p w14:paraId="0EE9A48F" w14:textId="5C24E7CB" w:rsidR="00A14D17" w:rsidRDefault="00A14D17" w:rsidP="00FB1C0A">
      <w:pPr>
        <w:pStyle w:val="af"/>
        <w:spacing w:line="360" w:lineRule="auto"/>
        <w:rPr>
          <w:rFonts w:ascii="Times New Roman" w:hAnsi="Times New Roman" w:cs="Times New Roman"/>
          <w:sz w:val="28"/>
          <w:szCs w:val="28"/>
        </w:rPr>
      </w:pPr>
      <w:r w:rsidRPr="00A14D17">
        <w:rPr>
          <w:rFonts w:ascii="Times New Roman" w:hAnsi="Times New Roman" w:cs="Times New Roman"/>
          <w:i/>
          <w:iCs/>
          <w:sz w:val="28"/>
          <w:szCs w:val="28"/>
        </w:rPr>
        <w:t>ГМ — теплова мережа міста (Grid/District Heating)</w:t>
      </w:r>
    </w:p>
    <w:p w14:paraId="7D1BDC2B" w14:textId="77777777" w:rsidR="00324667" w:rsidRDefault="00324667" w:rsidP="00FB1C0A">
      <w:pPr>
        <w:pStyle w:val="af"/>
        <w:spacing w:line="360" w:lineRule="auto"/>
        <w:rPr>
          <w:rFonts w:ascii="Times New Roman" w:hAnsi="Times New Roman" w:cs="Times New Roman"/>
          <w:sz w:val="28"/>
          <w:szCs w:val="28"/>
        </w:rPr>
      </w:pPr>
    </w:p>
    <w:p w14:paraId="721EB9F4" w14:textId="5E063FA5"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1.Аналіз CapEx (Капітальні витрати):</w:t>
      </w:r>
    </w:p>
    <w:p w14:paraId="020D9D12" w14:textId="77777777"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Для проєктів енергосимбіозу CapEx включає не лише вартість теплообмінного обладнання, а й витрати на інтеграцію в міську мережу. Найбільша частка витрат припадає на теплові насоси та інженерні мережі (трубопроводи), особливо якщо споживач знаходиться на відстані понад 500 метрів. Для гіпермасштабних ЦОД ці витрати вищі в абсолютному значенні, але нижчі у перерахунку на 1 кВт встановленої потужності (ефект масштабу).</w:t>
      </w:r>
    </w:p>
    <w:p w14:paraId="493C96DA" w14:textId="47DE0D3B"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lastRenderedPageBreak/>
        <w:t>2.Аналіз OpEx (Операційні витрати та ефективність):</w:t>
      </w:r>
    </w:p>
    <w:p w14:paraId="3B349AC3" w14:textId="7C24F038"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Основною перевагою впровадження рекуперації є зниження OpEx на охолодження. При використанні рідинного охолодження витрати на роботу вентиляторів та чилерів знижуються на 20–30%. Додатково, OpEx знижується завдяки монетизації тепла: продаж енергії міським споживачам перетворює центр витрат (охолодження) на центр отримання прибутку.</w:t>
      </w:r>
    </w:p>
    <w:p w14:paraId="7C3A2FD9" w14:textId="6EE9A697"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3.Фінансові індикатори:</w:t>
      </w:r>
    </w:p>
    <w:p w14:paraId="7E46E668" w14:textId="77777777"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Для оцінки ефективності рекомендується використовувати показник NPV (Net Present Value — чиста приведена вартість) та IRR (Internal Rate of Return — внутрішня норма прибутковості). Проєкти з рекуперації тепла, що інтегровані в централізоване опалення міста, демонструють IRR на рівні 12–18%, що перевищує вартість капіталу для більшості ІТ-корпорацій, за умови наявності стабільного тарифу на тепло.</w:t>
      </w:r>
    </w:p>
    <w:p w14:paraId="4861A980" w14:textId="4714CFC9"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4.Ризики для операційної надійності:</w:t>
      </w:r>
    </w:p>
    <w:p w14:paraId="3DD80356" w14:textId="2D25D3C7" w:rsidR="00324667" w:rsidRPr="00324667" w:rsidRDefault="00324667" w:rsidP="00107E42">
      <w:pPr>
        <w:pStyle w:val="af"/>
        <w:spacing w:line="360" w:lineRule="auto"/>
        <w:ind w:firstLine="708"/>
        <w:jc w:val="both"/>
        <w:rPr>
          <w:rFonts w:ascii="Times New Roman" w:hAnsi="Times New Roman" w:cs="Times New Roman"/>
          <w:sz w:val="28"/>
          <w:szCs w:val="28"/>
        </w:rPr>
      </w:pPr>
      <w:r w:rsidRPr="00324667">
        <w:rPr>
          <w:rFonts w:ascii="Times New Roman" w:hAnsi="Times New Roman" w:cs="Times New Roman"/>
          <w:sz w:val="28"/>
          <w:szCs w:val="28"/>
        </w:rPr>
        <w:t>Впровадження рекуперації створює додатковий контур взаємодії з зовнішнім споживачем. Основний технічний ризик — можливість гідравлічного удару або витоку в міській мережі, що може вплинути на контур охолодження серверів. Тому стандартом є обов’язкове встановлення системи захисту, що робить ці витрати частиною CapEx, але гарантує Uptime (надійність) на рівні 99,999%.</w:t>
      </w:r>
    </w:p>
    <w:p w14:paraId="69CA95FD" w14:textId="4B0CAE75" w:rsidR="000B27B4" w:rsidRPr="006102DF" w:rsidRDefault="00CA5C2F" w:rsidP="00107E42">
      <w:pPr>
        <w:pStyle w:val="af"/>
        <w:spacing w:line="360" w:lineRule="auto"/>
        <w:ind w:firstLine="708"/>
        <w:jc w:val="both"/>
        <w:rPr>
          <w:rFonts w:ascii="Times New Roman" w:hAnsi="Times New Roman" w:cs="Times New Roman"/>
          <w:sz w:val="28"/>
          <w:szCs w:val="28"/>
        </w:rPr>
      </w:pPr>
      <w:r w:rsidRPr="00CA5C2F">
        <w:rPr>
          <w:rFonts w:ascii="Times New Roman" w:hAnsi="Times New Roman" w:cs="Times New Roman"/>
          <w:sz w:val="28"/>
          <w:szCs w:val="28"/>
        </w:rPr>
        <w:t xml:space="preserve">Попри високий ексергетичний потенціал скидного тепла, його інтеграція в міське середовище стикається з низкою критичних інфраструктурних </w:t>
      </w:r>
      <w:r w:rsidRPr="006102DF">
        <w:rPr>
          <w:rFonts w:ascii="Times New Roman" w:hAnsi="Times New Roman" w:cs="Times New Roman"/>
          <w:sz w:val="28"/>
          <w:szCs w:val="28"/>
        </w:rPr>
        <w:t>обмежень:</w:t>
      </w:r>
    </w:p>
    <w:p w14:paraId="0D00AED9" w14:textId="77777777" w:rsidR="000B27B4" w:rsidRPr="006102DF" w:rsidRDefault="000B27B4" w:rsidP="00107E4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t>1.</w:t>
      </w:r>
      <w:r w:rsidR="00CA5C2F" w:rsidRPr="006102DF">
        <w:rPr>
          <w:rFonts w:ascii="Times New Roman" w:hAnsi="Times New Roman" w:cs="Times New Roman"/>
          <w:sz w:val="28"/>
          <w:szCs w:val="28"/>
        </w:rPr>
        <w:t>Термічна деградація під час транспортування (Heat Transport Degradation): Ефективність передачі тепла на відстань є критичним бар’єром. Згідно із законом Ньютона-Ріхмана, втрати енергії в трубопроводі прямо пропорційні різниці температур між теплоносієм та навколишнім середовищем. При транспортуванні низькопотенційного тепла (30–45°C) на відстані понад 1–2 км, навіть за використання сучасних попередньо ізольованих труб (PEX/PUR), питомі втрати тепла можуть сягати 10–15%, що суттєво знижує енергетичну ефективність (COP) всієї системи.</w:t>
      </w:r>
    </w:p>
    <w:p w14:paraId="408B4B25" w14:textId="5E39FCAE" w:rsidR="000B27B4" w:rsidRPr="006102DF" w:rsidRDefault="000B27B4" w:rsidP="00BD1AA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lastRenderedPageBreak/>
        <w:t>2.</w:t>
      </w:r>
      <w:r w:rsidR="00CA5C2F" w:rsidRPr="006102DF">
        <w:rPr>
          <w:rFonts w:ascii="Times New Roman" w:hAnsi="Times New Roman" w:cs="Times New Roman"/>
          <w:sz w:val="28"/>
          <w:szCs w:val="28"/>
        </w:rPr>
        <w:t>Просторова невідповідність (Spatial Mismatch): Більшість існуючих ЦОД у Києві проєктувалися без урахування близькості до споживачів тепла. Наявність щільної забудови або об’єктів, що не потребують опалення в літній період, створює проблему "балансування навантаження": куди дівати тепло, коли міська мережа не потребує підігріву (влітку)? Відсутність розвинених систем сезонного акумулювання тепла обмежує потенціал використання скидного тепла лише опалювальним сезоном.</w:t>
      </w:r>
    </w:p>
    <w:p w14:paraId="5844970B" w14:textId="241C945B" w:rsidR="00CA5C2F" w:rsidRPr="006102DF" w:rsidRDefault="000B27B4" w:rsidP="00BD1AA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t>3.</w:t>
      </w:r>
      <w:r w:rsidR="00CA5C2F" w:rsidRPr="006102DF">
        <w:rPr>
          <w:rFonts w:ascii="Times New Roman" w:hAnsi="Times New Roman" w:cs="Times New Roman"/>
          <w:sz w:val="28"/>
          <w:szCs w:val="28"/>
        </w:rPr>
        <w:t>Комплексність ретрофіту (Retrofitting Complexity): Впровадження систем рекуперації в існуючі ЦОД (brownfield-проєкти) є значно складнішим та дорожчим, ніж у нове будівництво (greenfield). Необхідність переобладнання внутрішніх систем охолодження, розширення площ для теплообмінників та прокладання нових інженерних комунікацій через вже сформовану міську мережу часто стає фінансово обмежувальним фактором.</w:t>
      </w:r>
    </w:p>
    <w:p w14:paraId="2353B7C3" w14:textId="7C6C912C" w:rsidR="000B27B4" w:rsidRPr="006102DF" w:rsidRDefault="000B27B4" w:rsidP="00BD1AA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t>Впровадження енергосимбіозу не повинно компрометувати основну функцію ЦОД — забезпечення безперебійної роботи (uptime 99,999%).</w:t>
      </w:r>
    </w:p>
    <w:p w14:paraId="3C2C7937" w14:textId="2EEE04A1" w:rsidR="000B27B4" w:rsidRPr="006102DF" w:rsidRDefault="000B27B4" w:rsidP="00BD1AA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t>1.Ризик порушення гідравлічного режиму: Будь-яке втручання в контур охолодження ЦОД для підключення до тепломережі несе ризик зміни тиску або витрати теплоносія, що може призвести до локальних перегрівів серверного обладнання. Необхідна повна гідравлічна розв'язка, що вимагає встановлення додаткових вузлів регулювання, які самі по собі стають точками відмови .</w:t>
      </w:r>
    </w:p>
    <w:p w14:paraId="1555CC8A" w14:textId="77777777" w:rsidR="006102DF" w:rsidRPr="006102DF" w:rsidRDefault="006102DF" w:rsidP="00BD1AA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t>2.</w:t>
      </w:r>
      <w:r w:rsidR="000B27B4" w:rsidRPr="006102DF">
        <w:rPr>
          <w:rFonts w:ascii="Times New Roman" w:hAnsi="Times New Roman" w:cs="Times New Roman"/>
          <w:sz w:val="28"/>
          <w:szCs w:val="28"/>
        </w:rPr>
        <w:t>Забруднення контурів: Ризик перетікання теплоносія з міської мережі до системи охолодження серверів (у разі аварії на теплообміннику) є неприпустимим. Це вимагає використання високонадійних пластинчастих теплообмінників з двоконтурним захистом та системами автоматичного відключення, що збільшує капітальні витрати (CapEx).</w:t>
      </w:r>
    </w:p>
    <w:p w14:paraId="7E28F06F" w14:textId="39979955" w:rsidR="000B27B4" w:rsidRPr="000B27B4" w:rsidRDefault="006102DF" w:rsidP="00BD1AA2">
      <w:pPr>
        <w:pStyle w:val="af"/>
        <w:spacing w:line="360" w:lineRule="auto"/>
        <w:ind w:firstLine="708"/>
        <w:jc w:val="both"/>
        <w:rPr>
          <w:rFonts w:ascii="Times New Roman" w:hAnsi="Times New Roman" w:cs="Times New Roman"/>
          <w:sz w:val="28"/>
          <w:szCs w:val="28"/>
        </w:rPr>
      </w:pPr>
      <w:r w:rsidRPr="006102DF">
        <w:rPr>
          <w:rFonts w:ascii="Times New Roman" w:hAnsi="Times New Roman" w:cs="Times New Roman"/>
          <w:sz w:val="28"/>
          <w:szCs w:val="28"/>
        </w:rPr>
        <w:t>3.</w:t>
      </w:r>
      <w:r w:rsidR="000B27B4" w:rsidRPr="006102DF">
        <w:rPr>
          <w:rFonts w:ascii="Times New Roman" w:hAnsi="Times New Roman" w:cs="Times New Roman"/>
          <w:sz w:val="28"/>
          <w:szCs w:val="28"/>
        </w:rPr>
        <w:t>Складність управління: Інтеграція ЦОД у міську мережу потребує складної системи автоматики, яка має синхронізувати роботу ЦОД із динамікою попиту в енергомережі міста. Помилки в роботі цієї системи можуть призвести до перегріву серверів або розбалансування гідравліки тепломережі, що створює ризики для обох сторін</w:t>
      </w:r>
      <w:r w:rsidR="000B27B4" w:rsidRPr="000B27B4">
        <w:rPr>
          <w:rFonts w:ascii="Times New Roman" w:hAnsi="Times New Roman" w:cs="Times New Roman"/>
          <w:sz w:val="28"/>
          <w:szCs w:val="28"/>
        </w:rPr>
        <w:t>.</w:t>
      </w:r>
    </w:p>
    <w:p w14:paraId="08FE0D10" w14:textId="5FB9E371" w:rsidR="00F132BC" w:rsidRPr="00F132BC" w:rsidRDefault="00F132BC" w:rsidP="00BD1AA2">
      <w:pPr>
        <w:pStyle w:val="af"/>
        <w:spacing w:line="360" w:lineRule="auto"/>
        <w:ind w:firstLine="708"/>
        <w:jc w:val="both"/>
        <w:rPr>
          <w:rFonts w:ascii="Times New Roman" w:hAnsi="Times New Roman" w:cs="Times New Roman"/>
          <w:sz w:val="28"/>
          <w:szCs w:val="28"/>
        </w:rPr>
      </w:pPr>
      <w:r w:rsidRPr="00F132BC">
        <w:rPr>
          <w:rFonts w:ascii="Times New Roman" w:hAnsi="Times New Roman" w:cs="Times New Roman"/>
          <w:sz w:val="28"/>
          <w:szCs w:val="28"/>
        </w:rPr>
        <w:lastRenderedPageBreak/>
        <w:t>Синтез проведеного аналізу свідчить про наявність значного, проте все ще нереалізованого енергосимбіотичного потенціалу в умовах м. Києва.</w:t>
      </w:r>
    </w:p>
    <w:p w14:paraId="2C6B0D0C" w14:textId="77777777" w:rsidR="00F132BC" w:rsidRPr="00F132BC" w:rsidRDefault="00F132BC" w:rsidP="00107E42">
      <w:pPr>
        <w:pStyle w:val="af"/>
        <w:spacing w:line="360" w:lineRule="auto"/>
        <w:jc w:val="both"/>
        <w:rPr>
          <w:rFonts w:ascii="Times New Roman" w:hAnsi="Times New Roman" w:cs="Times New Roman"/>
          <w:sz w:val="28"/>
          <w:szCs w:val="28"/>
        </w:rPr>
      </w:pPr>
      <w:r w:rsidRPr="00F132BC">
        <w:rPr>
          <w:rFonts w:ascii="Times New Roman" w:hAnsi="Times New Roman" w:cs="Times New Roman"/>
          <w:sz w:val="28"/>
          <w:szCs w:val="28"/>
        </w:rPr>
        <w:t>Стратегічний висновок: Використання скидного тепла ЦОД не є "універсальною пігулкою", а потребує селективного підходу. Найбільш перспективним сценарієм для Києва є інтеграція середніх та гіпермасштабних ЦОД у локальні теплові мережі нових житлових кварталів (через будівництво об’єктів "навколо" ЦОД) або використання тепла для цілорічних агро-споживачів (теплиці).</w:t>
      </w:r>
    </w:p>
    <w:p w14:paraId="74E5B66E" w14:textId="281A6760" w:rsidR="00BD0DE6" w:rsidRDefault="00F132BC" w:rsidP="00BD1AA2">
      <w:pPr>
        <w:pStyle w:val="af"/>
        <w:spacing w:line="360" w:lineRule="auto"/>
        <w:ind w:firstLine="708"/>
        <w:jc w:val="both"/>
        <w:rPr>
          <w:rFonts w:ascii="Times New Roman" w:hAnsi="Times New Roman" w:cs="Times New Roman"/>
          <w:sz w:val="28"/>
          <w:szCs w:val="28"/>
        </w:rPr>
      </w:pPr>
      <w:r w:rsidRPr="00F132BC">
        <w:rPr>
          <w:rFonts w:ascii="Times New Roman" w:hAnsi="Times New Roman" w:cs="Times New Roman"/>
          <w:sz w:val="28"/>
          <w:szCs w:val="28"/>
        </w:rPr>
        <w:t>Інженерний пріоритет: Перехід на рідинні архітектури охолодження є обов'язковою умовою для мінімізації інфраструктурних бар'єрів. Лише шляхом підвищення вихідної температури скидного тепла можна перетворити його з низькоякісного "відходу" на цінний товар, що дозволить мінімізувати термін окупності проєктів (через відмову від промислових теплових насосів) та забезпечить стабільність функціонування цифрової інфраструктури в місті.</w:t>
      </w:r>
      <w:r w:rsidR="00BD0DE6">
        <w:rPr>
          <w:rFonts w:ascii="Times New Roman" w:hAnsi="Times New Roman" w:cs="Times New Roman"/>
          <w:sz w:val="28"/>
          <w:szCs w:val="28"/>
        </w:rPr>
        <w:br w:type="page"/>
      </w:r>
    </w:p>
    <w:p w14:paraId="4F17930E" w14:textId="77777777" w:rsidR="00BD1AA2" w:rsidRDefault="00BD1AA2" w:rsidP="00BD1AA2">
      <w:pPr>
        <w:pStyle w:val="af"/>
        <w:spacing w:line="360" w:lineRule="auto"/>
        <w:jc w:val="center"/>
        <w:rPr>
          <w:rFonts w:ascii="Times New Roman" w:hAnsi="Times New Roman" w:cs="Times New Roman"/>
          <w:sz w:val="28"/>
          <w:szCs w:val="28"/>
        </w:rPr>
      </w:pPr>
      <w:r w:rsidRPr="00295F05">
        <w:rPr>
          <w:rFonts w:ascii="Times New Roman" w:hAnsi="Times New Roman" w:cs="Times New Roman"/>
          <w:sz w:val="28"/>
          <w:szCs w:val="28"/>
        </w:rPr>
        <w:lastRenderedPageBreak/>
        <w:t>Таблиця 4.</w:t>
      </w:r>
      <w:r>
        <w:rPr>
          <w:rFonts w:ascii="Times New Roman" w:hAnsi="Times New Roman" w:cs="Times New Roman"/>
          <w:sz w:val="28"/>
          <w:szCs w:val="28"/>
        </w:rPr>
        <w:t>5.</w:t>
      </w:r>
      <w:r w:rsidRPr="00295F05">
        <w:rPr>
          <w:rFonts w:ascii="Times New Roman" w:hAnsi="Times New Roman" w:cs="Times New Roman"/>
          <w:sz w:val="28"/>
          <w:szCs w:val="28"/>
        </w:rPr>
        <w:t xml:space="preserve"> Вагові коефіцієнти факторів для вибору локації</w:t>
      </w:r>
    </w:p>
    <w:tbl>
      <w:tblPr>
        <w:tblStyle w:val="af0"/>
        <w:tblW w:w="0" w:type="auto"/>
        <w:tblLook w:val="04A0" w:firstRow="1" w:lastRow="0" w:firstColumn="1" w:lastColumn="0" w:noHBand="0" w:noVBand="1"/>
      </w:tblPr>
      <w:tblGrid>
        <w:gridCol w:w="3209"/>
        <w:gridCol w:w="3210"/>
        <w:gridCol w:w="3210"/>
      </w:tblGrid>
      <w:tr w:rsidR="007A4560" w14:paraId="7B0BE292" w14:textId="77777777" w:rsidTr="007A4560">
        <w:tc>
          <w:tcPr>
            <w:tcW w:w="3209" w:type="dxa"/>
          </w:tcPr>
          <w:p w14:paraId="2B488656" w14:textId="441EA6C3" w:rsidR="007A4560" w:rsidRDefault="007A4560" w:rsidP="00FB1C0A">
            <w:pPr>
              <w:pStyle w:val="af"/>
              <w:spacing w:line="360" w:lineRule="auto"/>
              <w:rPr>
                <w:rFonts w:ascii="Times New Roman" w:hAnsi="Times New Roman" w:cs="Times New Roman"/>
                <w:sz w:val="28"/>
                <w:szCs w:val="28"/>
              </w:rPr>
            </w:pPr>
            <w:r w:rsidRPr="007A4560">
              <w:rPr>
                <w:rFonts w:ascii="Times New Roman" w:hAnsi="Times New Roman" w:cs="Times New Roman"/>
                <w:sz w:val="28"/>
                <w:szCs w:val="28"/>
              </w:rPr>
              <w:t>Критерій (Фактор впливу)</w:t>
            </w:r>
          </w:p>
        </w:tc>
        <w:tc>
          <w:tcPr>
            <w:tcW w:w="3210" w:type="dxa"/>
          </w:tcPr>
          <w:p w14:paraId="18565C8C" w14:textId="7E6182CA" w:rsidR="007A4560" w:rsidRDefault="00C55476" w:rsidP="00FB1C0A">
            <w:pPr>
              <w:pStyle w:val="af"/>
              <w:spacing w:line="360" w:lineRule="auto"/>
              <w:rPr>
                <w:rFonts w:ascii="Times New Roman" w:hAnsi="Times New Roman" w:cs="Times New Roman"/>
                <w:sz w:val="28"/>
                <w:szCs w:val="28"/>
              </w:rPr>
            </w:pPr>
            <w:r w:rsidRPr="00C55476">
              <w:rPr>
                <w:rFonts w:ascii="Times New Roman" w:hAnsi="Times New Roman" w:cs="Times New Roman"/>
                <w:sz w:val="28"/>
                <w:szCs w:val="28"/>
              </w:rPr>
              <w:t>Ваговий коефіцієнт (від 0 до 1)</w:t>
            </w:r>
          </w:p>
        </w:tc>
        <w:tc>
          <w:tcPr>
            <w:tcW w:w="3210" w:type="dxa"/>
          </w:tcPr>
          <w:p w14:paraId="44292F64" w14:textId="72589A94" w:rsidR="007A4560" w:rsidRDefault="00C55476" w:rsidP="00FB1C0A">
            <w:pPr>
              <w:pStyle w:val="af"/>
              <w:spacing w:line="360" w:lineRule="auto"/>
              <w:rPr>
                <w:rFonts w:ascii="Times New Roman" w:hAnsi="Times New Roman" w:cs="Times New Roman"/>
                <w:sz w:val="28"/>
                <w:szCs w:val="28"/>
              </w:rPr>
            </w:pPr>
            <w:r w:rsidRPr="00C55476">
              <w:rPr>
                <w:rFonts w:ascii="Times New Roman" w:hAnsi="Times New Roman" w:cs="Times New Roman"/>
                <w:sz w:val="28"/>
                <w:szCs w:val="28"/>
              </w:rPr>
              <w:t>Пояснення</w:t>
            </w:r>
          </w:p>
        </w:tc>
      </w:tr>
      <w:tr w:rsidR="007A4560" w14:paraId="3800C31D" w14:textId="77777777" w:rsidTr="007A4560">
        <w:tc>
          <w:tcPr>
            <w:tcW w:w="3209" w:type="dxa"/>
          </w:tcPr>
          <w:p w14:paraId="11FFF3AD" w14:textId="44BAB6DC" w:rsidR="007A4560" w:rsidRDefault="006D69E3" w:rsidP="00FB1C0A">
            <w:pPr>
              <w:pStyle w:val="af"/>
              <w:spacing w:line="360" w:lineRule="auto"/>
              <w:rPr>
                <w:rFonts w:ascii="Times New Roman" w:hAnsi="Times New Roman" w:cs="Times New Roman"/>
                <w:sz w:val="28"/>
                <w:szCs w:val="28"/>
              </w:rPr>
            </w:pPr>
            <w:r w:rsidRPr="006D69E3">
              <w:rPr>
                <w:rFonts w:ascii="Times New Roman" w:hAnsi="Times New Roman" w:cs="Times New Roman"/>
                <w:sz w:val="28"/>
                <w:szCs w:val="28"/>
              </w:rPr>
              <w:t>Енергетична доступність (близькість до мереж)</w:t>
            </w:r>
          </w:p>
        </w:tc>
        <w:tc>
          <w:tcPr>
            <w:tcW w:w="3210" w:type="dxa"/>
          </w:tcPr>
          <w:p w14:paraId="2333F869" w14:textId="1CD5ACF1" w:rsidR="007A4560" w:rsidRDefault="00C55476" w:rsidP="00FB1C0A">
            <w:pPr>
              <w:pStyle w:val="af"/>
              <w:spacing w:line="360" w:lineRule="auto"/>
              <w:rPr>
                <w:rFonts w:ascii="Times New Roman" w:hAnsi="Times New Roman" w:cs="Times New Roman"/>
                <w:sz w:val="28"/>
                <w:szCs w:val="28"/>
              </w:rPr>
            </w:pPr>
            <w:r w:rsidRPr="00C55476">
              <w:rPr>
                <w:rFonts w:ascii="Times New Roman" w:hAnsi="Times New Roman" w:cs="Times New Roman"/>
                <w:sz w:val="28"/>
                <w:szCs w:val="28"/>
              </w:rPr>
              <w:t>0.35</w:t>
            </w:r>
          </w:p>
        </w:tc>
        <w:tc>
          <w:tcPr>
            <w:tcW w:w="3210" w:type="dxa"/>
          </w:tcPr>
          <w:p w14:paraId="1BCD8F57" w14:textId="70F7DE6F" w:rsidR="007A4560" w:rsidRDefault="008C1E84" w:rsidP="00FB1C0A">
            <w:pPr>
              <w:pStyle w:val="af"/>
              <w:spacing w:line="360" w:lineRule="auto"/>
              <w:rPr>
                <w:rFonts w:ascii="Times New Roman" w:hAnsi="Times New Roman" w:cs="Times New Roman"/>
                <w:sz w:val="28"/>
                <w:szCs w:val="28"/>
              </w:rPr>
            </w:pPr>
            <w:r w:rsidRPr="008C1E84">
              <w:rPr>
                <w:rFonts w:ascii="Times New Roman" w:hAnsi="Times New Roman" w:cs="Times New Roman"/>
                <w:sz w:val="28"/>
                <w:szCs w:val="28"/>
              </w:rPr>
              <w:t>Визначає енергоефективність передачі</w:t>
            </w:r>
          </w:p>
        </w:tc>
      </w:tr>
      <w:tr w:rsidR="007A4560" w14:paraId="38723292" w14:textId="77777777" w:rsidTr="007A4560">
        <w:tc>
          <w:tcPr>
            <w:tcW w:w="3209" w:type="dxa"/>
          </w:tcPr>
          <w:p w14:paraId="104A0675" w14:textId="0FD0E96D" w:rsidR="007A4560" w:rsidRDefault="006D69E3" w:rsidP="00FB1C0A">
            <w:pPr>
              <w:pStyle w:val="af"/>
              <w:spacing w:line="360" w:lineRule="auto"/>
              <w:rPr>
                <w:rFonts w:ascii="Times New Roman" w:hAnsi="Times New Roman" w:cs="Times New Roman"/>
                <w:sz w:val="28"/>
                <w:szCs w:val="28"/>
              </w:rPr>
            </w:pPr>
            <w:r w:rsidRPr="006D69E3">
              <w:rPr>
                <w:rFonts w:ascii="Times New Roman" w:hAnsi="Times New Roman" w:cs="Times New Roman"/>
                <w:sz w:val="28"/>
                <w:szCs w:val="28"/>
              </w:rPr>
              <w:t>Відстань до споживачів тепла (Симбіоз)</w:t>
            </w:r>
          </w:p>
        </w:tc>
        <w:tc>
          <w:tcPr>
            <w:tcW w:w="3210" w:type="dxa"/>
          </w:tcPr>
          <w:p w14:paraId="02E65E98" w14:textId="47216FF3" w:rsidR="007A4560" w:rsidRDefault="00C55476" w:rsidP="00FB1C0A">
            <w:pPr>
              <w:pStyle w:val="af"/>
              <w:spacing w:line="360" w:lineRule="auto"/>
              <w:rPr>
                <w:rFonts w:ascii="Times New Roman" w:hAnsi="Times New Roman" w:cs="Times New Roman"/>
                <w:sz w:val="28"/>
                <w:szCs w:val="28"/>
              </w:rPr>
            </w:pPr>
            <w:r w:rsidRPr="00C55476">
              <w:rPr>
                <w:rFonts w:ascii="Times New Roman" w:hAnsi="Times New Roman" w:cs="Times New Roman"/>
                <w:sz w:val="28"/>
                <w:szCs w:val="28"/>
              </w:rPr>
              <w:t>0.25</w:t>
            </w:r>
          </w:p>
        </w:tc>
        <w:tc>
          <w:tcPr>
            <w:tcW w:w="3210" w:type="dxa"/>
          </w:tcPr>
          <w:p w14:paraId="5AC7A783" w14:textId="1307C80A" w:rsidR="007A4560" w:rsidRDefault="008C1E84" w:rsidP="00FB1C0A">
            <w:pPr>
              <w:pStyle w:val="af"/>
              <w:spacing w:line="360" w:lineRule="auto"/>
              <w:rPr>
                <w:rFonts w:ascii="Times New Roman" w:hAnsi="Times New Roman" w:cs="Times New Roman"/>
                <w:sz w:val="28"/>
                <w:szCs w:val="28"/>
              </w:rPr>
            </w:pPr>
            <w:r w:rsidRPr="008C1E84">
              <w:rPr>
                <w:rFonts w:ascii="Times New Roman" w:hAnsi="Times New Roman" w:cs="Times New Roman"/>
                <w:sz w:val="28"/>
                <w:szCs w:val="28"/>
              </w:rPr>
              <w:t>Критично для рекуперації тепла</w:t>
            </w:r>
          </w:p>
        </w:tc>
      </w:tr>
      <w:tr w:rsidR="007A4560" w14:paraId="1E086888" w14:textId="77777777" w:rsidTr="007A4560">
        <w:tc>
          <w:tcPr>
            <w:tcW w:w="3209" w:type="dxa"/>
          </w:tcPr>
          <w:p w14:paraId="100ADDB0" w14:textId="56FE2BC5" w:rsidR="007A4560" w:rsidRDefault="006D69E3" w:rsidP="00FB1C0A">
            <w:pPr>
              <w:pStyle w:val="af"/>
              <w:spacing w:line="360" w:lineRule="auto"/>
              <w:rPr>
                <w:rFonts w:ascii="Times New Roman" w:hAnsi="Times New Roman" w:cs="Times New Roman"/>
                <w:sz w:val="28"/>
                <w:szCs w:val="28"/>
              </w:rPr>
            </w:pPr>
            <w:r w:rsidRPr="006D69E3">
              <w:rPr>
                <w:rFonts w:ascii="Times New Roman" w:hAnsi="Times New Roman" w:cs="Times New Roman"/>
                <w:sz w:val="28"/>
                <w:szCs w:val="28"/>
              </w:rPr>
              <w:t>Щільність забудови (Соціальний вплив)</w:t>
            </w:r>
          </w:p>
        </w:tc>
        <w:tc>
          <w:tcPr>
            <w:tcW w:w="3210" w:type="dxa"/>
          </w:tcPr>
          <w:p w14:paraId="0BE769D4" w14:textId="2AA47EF7" w:rsidR="007A4560" w:rsidRDefault="00884929" w:rsidP="00FB1C0A">
            <w:pPr>
              <w:pStyle w:val="af"/>
              <w:spacing w:line="360" w:lineRule="auto"/>
              <w:rPr>
                <w:rFonts w:ascii="Times New Roman" w:hAnsi="Times New Roman" w:cs="Times New Roman"/>
                <w:sz w:val="28"/>
                <w:szCs w:val="28"/>
              </w:rPr>
            </w:pPr>
            <w:r w:rsidRPr="00884929">
              <w:rPr>
                <w:rFonts w:ascii="Times New Roman" w:hAnsi="Times New Roman" w:cs="Times New Roman"/>
                <w:sz w:val="28"/>
                <w:szCs w:val="28"/>
              </w:rPr>
              <w:t>0.20</w:t>
            </w:r>
          </w:p>
        </w:tc>
        <w:tc>
          <w:tcPr>
            <w:tcW w:w="3210" w:type="dxa"/>
          </w:tcPr>
          <w:p w14:paraId="47D3A908" w14:textId="61E1589F" w:rsidR="007A4560" w:rsidRDefault="008C1E84" w:rsidP="00FB1C0A">
            <w:pPr>
              <w:pStyle w:val="af"/>
              <w:spacing w:line="360" w:lineRule="auto"/>
              <w:rPr>
                <w:rFonts w:ascii="Times New Roman" w:hAnsi="Times New Roman" w:cs="Times New Roman"/>
                <w:sz w:val="28"/>
                <w:szCs w:val="28"/>
              </w:rPr>
            </w:pPr>
            <w:r w:rsidRPr="008C1E84">
              <w:rPr>
                <w:rFonts w:ascii="Times New Roman" w:hAnsi="Times New Roman" w:cs="Times New Roman"/>
                <w:sz w:val="28"/>
                <w:szCs w:val="28"/>
              </w:rPr>
              <w:t>Мінімізація шумового/теплового впливу</w:t>
            </w:r>
          </w:p>
        </w:tc>
      </w:tr>
      <w:tr w:rsidR="007A4560" w14:paraId="5B158A3E" w14:textId="77777777" w:rsidTr="007A4560">
        <w:tc>
          <w:tcPr>
            <w:tcW w:w="3209" w:type="dxa"/>
          </w:tcPr>
          <w:p w14:paraId="439EEDF7" w14:textId="7E7E9D30" w:rsidR="007A4560" w:rsidRDefault="00A05373" w:rsidP="00FB1C0A">
            <w:pPr>
              <w:pStyle w:val="af"/>
              <w:spacing w:line="360" w:lineRule="auto"/>
              <w:rPr>
                <w:rFonts w:ascii="Times New Roman" w:hAnsi="Times New Roman" w:cs="Times New Roman"/>
                <w:sz w:val="28"/>
                <w:szCs w:val="28"/>
              </w:rPr>
            </w:pPr>
            <w:r w:rsidRPr="00A05373">
              <w:rPr>
                <w:rFonts w:ascii="Times New Roman" w:hAnsi="Times New Roman" w:cs="Times New Roman"/>
                <w:sz w:val="28"/>
                <w:szCs w:val="28"/>
              </w:rPr>
              <w:t>Гідрологічна безпека (Рівень вод)</w:t>
            </w:r>
          </w:p>
        </w:tc>
        <w:tc>
          <w:tcPr>
            <w:tcW w:w="3210" w:type="dxa"/>
          </w:tcPr>
          <w:p w14:paraId="431BFE4A" w14:textId="4FE092C8" w:rsidR="007A4560" w:rsidRDefault="00884929" w:rsidP="00FB1C0A">
            <w:pPr>
              <w:pStyle w:val="af"/>
              <w:spacing w:line="360" w:lineRule="auto"/>
              <w:rPr>
                <w:rFonts w:ascii="Times New Roman" w:hAnsi="Times New Roman" w:cs="Times New Roman"/>
                <w:sz w:val="28"/>
                <w:szCs w:val="28"/>
              </w:rPr>
            </w:pPr>
            <w:r w:rsidRPr="00884929">
              <w:rPr>
                <w:rFonts w:ascii="Times New Roman" w:hAnsi="Times New Roman" w:cs="Times New Roman"/>
                <w:sz w:val="28"/>
                <w:szCs w:val="28"/>
              </w:rPr>
              <w:t>0.15</w:t>
            </w:r>
          </w:p>
        </w:tc>
        <w:tc>
          <w:tcPr>
            <w:tcW w:w="3210" w:type="dxa"/>
          </w:tcPr>
          <w:p w14:paraId="23F72364" w14:textId="426AFDE5" w:rsidR="007A4560" w:rsidRDefault="00BD0DE6" w:rsidP="00FB1C0A">
            <w:pPr>
              <w:pStyle w:val="af"/>
              <w:spacing w:line="360" w:lineRule="auto"/>
              <w:rPr>
                <w:rFonts w:ascii="Times New Roman" w:hAnsi="Times New Roman" w:cs="Times New Roman"/>
                <w:sz w:val="28"/>
                <w:szCs w:val="28"/>
              </w:rPr>
            </w:pPr>
            <w:r w:rsidRPr="00BD0DE6">
              <w:rPr>
                <w:rFonts w:ascii="Times New Roman" w:hAnsi="Times New Roman" w:cs="Times New Roman"/>
                <w:sz w:val="28"/>
                <w:szCs w:val="28"/>
              </w:rPr>
              <w:t>Захист водних горизонтів</w:t>
            </w:r>
          </w:p>
        </w:tc>
      </w:tr>
      <w:tr w:rsidR="00A05373" w14:paraId="2FFF22D1" w14:textId="77777777" w:rsidTr="007A4560">
        <w:tc>
          <w:tcPr>
            <w:tcW w:w="3209" w:type="dxa"/>
          </w:tcPr>
          <w:p w14:paraId="57198965" w14:textId="39B431AB" w:rsidR="00A05373" w:rsidRDefault="00A05373" w:rsidP="00FB1C0A">
            <w:pPr>
              <w:pStyle w:val="af"/>
              <w:spacing w:line="360" w:lineRule="auto"/>
              <w:rPr>
                <w:rFonts w:ascii="Times New Roman" w:hAnsi="Times New Roman" w:cs="Times New Roman"/>
                <w:sz w:val="28"/>
                <w:szCs w:val="28"/>
              </w:rPr>
            </w:pPr>
            <w:r w:rsidRPr="00A05373">
              <w:rPr>
                <w:rFonts w:ascii="Times New Roman" w:hAnsi="Times New Roman" w:cs="Times New Roman"/>
                <w:sz w:val="28"/>
                <w:szCs w:val="28"/>
              </w:rPr>
              <w:t>Екологічна цінність території</w:t>
            </w:r>
          </w:p>
        </w:tc>
        <w:tc>
          <w:tcPr>
            <w:tcW w:w="3210" w:type="dxa"/>
          </w:tcPr>
          <w:p w14:paraId="09B8C847" w14:textId="1C858988" w:rsidR="00A05373" w:rsidRDefault="00884929" w:rsidP="00FB1C0A">
            <w:pPr>
              <w:pStyle w:val="af"/>
              <w:spacing w:line="360" w:lineRule="auto"/>
              <w:rPr>
                <w:rFonts w:ascii="Times New Roman" w:hAnsi="Times New Roman" w:cs="Times New Roman"/>
                <w:sz w:val="28"/>
                <w:szCs w:val="28"/>
              </w:rPr>
            </w:pPr>
            <w:r w:rsidRPr="00884929">
              <w:rPr>
                <w:rFonts w:ascii="Times New Roman" w:hAnsi="Times New Roman" w:cs="Times New Roman"/>
                <w:sz w:val="28"/>
                <w:szCs w:val="28"/>
              </w:rPr>
              <w:t>0.05</w:t>
            </w:r>
          </w:p>
        </w:tc>
        <w:tc>
          <w:tcPr>
            <w:tcW w:w="3210" w:type="dxa"/>
          </w:tcPr>
          <w:p w14:paraId="10E80471" w14:textId="4081EE80" w:rsidR="00A05373" w:rsidRDefault="00BD0DE6" w:rsidP="00FB1C0A">
            <w:pPr>
              <w:pStyle w:val="af"/>
              <w:spacing w:line="360" w:lineRule="auto"/>
              <w:rPr>
                <w:rFonts w:ascii="Times New Roman" w:hAnsi="Times New Roman" w:cs="Times New Roman"/>
                <w:sz w:val="28"/>
                <w:szCs w:val="28"/>
              </w:rPr>
            </w:pPr>
            <w:r w:rsidRPr="00BD0DE6">
              <w:rPr>
                <w:rFonts w:ascii="Times New Roman" w:hAnsi="Times New Roman" w:cs="Times New Roman"/>
                <w:sz w:val="28"/>
                <w:szCs w:val="28"/>
              </w:rPr>
              <w:t>Збереження біоценозів</w:t>
            </w:r>
          </w:p>
        </w:tc>
      </w:tr>
    </w:tbl>
    <w:p w14:paraId="559D44B1" w14:textId="77777777" w:rsidR="00066F62" w:rsidRDefault="00066F62" w:rsidP="00FB1C0A">
      <w:pPr>
        <w:pStyle w:val="af"/>
        <w:spacing w:line="360" w:lineRule="auto"/>
        <w:rPr>
          <w:rFonts w:ascii="Times New Roman" w:hAnsi="Times New Roman" w:cs="Times New Roman"/>
          <w:sz w:val="28"/>
          <w:szCs w:val="28"/>
        </w:rPr>
      </w:pPr>
    </w:p>
    <w:p w14:paraId="5FFB1E80" w14:textId="56DF5A94" w:rsidR="00066F62" w:rsidRPr="00580775" w:rsidRDefault="00580775" w:rsidP="00FB1C0A">
      <w:pPr>
        <w:pStyle w:val="af"/>
        <w:spacing w:line="360" w:lineRule="auto"/>
        <w:rPr>
          <w:rFonts w:ascii="Times New Roman" w:hAnsi="Times New Roman" w:cs="Times New Roman"/>
          <w:b/>
          <w:bCs/>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580775">
        <w:rPr>
          <w:rFonts w:ascii="Times New Roman" w:hAnsi="Times New Roman" w:cs="Times New Roman"/>
          <w:b/>
          <w:bCs/>
          <w:sz w:val="28"/>
          <w:szCs w:val="28"/>
        </w:rPr>
        <w:t>4.2 Стандартизація екологічних вимог: від проєктних рішень до «цифрового гомеостазу».</w:t>
      </w:r>
    </w:p>
    <w:p w14:paraId="421961C3" w14:textId="5462F87A" w:rsidR="004977F8" w:rsidRDefault="00066F62" w:rsidP="00BD1AA2">
      <w:pPr>
        <w:pStyle w:val="af"/>
        <w:spacing w:line="360" w:lineRule="auto"/>
        <w:ind w:firstLine="708"/>
        <w:jc w:val="both"/>
        <w:rPr>
          <w:rFonts w:ascii="Times New Roman" w:hAnsi="Times New Roman" w:cs="Times New Roman"/>
          <w:sz w:val="28"/>
          <w:szCs w:val="28"/>
        </w:rPr>
      </w:pPr>
      <w:r w:rsidRPr="00066F62">
        <w:rPr>
          <w:rFonts w:ascii="Times New Roman" w:hAnsi="Times New Roman" w:cs="Times New Roman"/>
          <w:sz w:val="28"/>
          <w:szCs w:val="28"/>
        </w:rPr>
        <w:t xml:space="preserve">На сучасному етапі розвитку цифрової інфраструктури існуючі екологічні стандарти (такі як PUE) є методологічно недостатніми, оскільки вони фокусуються на енергоефективності як ізольованому параметрі, ігноруючи системний вплив об’єкта на міську екосистему. Стандартизація екологічних вимог має трансформуватися від ретроспективного контролю до проактивного управління за принципом «Цифрового гомеостазу». </w:t>
      </w:r>
    </w:p>
    <w:p w14:paraId="6A1CBE4A" w14:textId="7162EFBC" w:rsidR="004977F8" w:rsidRDefault="00066F62" w:rsidP="00BD1AA2">
      <w:pPr>
        <w:pStyle w:val="af"/>
        <w:spacing w:line="360" w:lineRule="auto"/>
        <w:ind w:firstLine="708"/>
        <w:jc w:val="both"/>
        <w:rPr>
          <w:rFonts w:ascii="Times New Roman" w:hAnsi="Times New Roman" w:cs="Times New Roman"/>
          <w:sz w:val="28"/>
          <w:szCs w:val="28"/>
        </w:rPr>
      </w:pPr>
      <w:r w:rsidRPr="004977F8">
        <w:rPr>
          <w:rFonts w:ascii="Times New Roman" w:hAnsi="Times New Roman" w:cs="Times New Roman"/>
          <w:sz w:val="28"/>
          <w:szCs w:val="28"/>
        </w:rPr>
        <w:t>Перехід до «цифрового гомеостазу» вимагає впровадження комплексної системи регулювання, що включає:</w:t>
      </w:r>
    </w:p>
    <w:p w14:paraId="12FC6C0B" w14:textId="5CA7EDCE" w:rsidR="004977F8" w:rsidRDefault="00066F62" w:rsidP="00BD1AA2">
      <w:pPr>
        <w:pStyle w:val="af"/>
        <w:spacing w:line="360" w:lineRule="auto"/>
        <w:ind w:firstLine="708"/>
        <w:jc w:val="both"/>
        <w:rPr>
          <w:rFonts w:ascii="Times New Roman" w:hAnsi="Times New Roman" w:cs="Times New Roman"/>
          <w:sz w:val="28"/>
          <w:szCs w:val="28"/>
        </w:rPr>
      </w:pPr>
      <w:r w:rsidRPr="004977F8">
        <w:rPr>
          <w:rFonts w:ascii="Times New Roman" w:hAnsi="Times New Roman" w:cs="Times New Roman"/>
          <w:sz w:val="28"/>
          <w:szCs w:val="28"/>
        </w:rPr>
        <w:t>Інтегральний індекс ESG-ЦОД: Обов’язкова заміна вузькоспеціалізованих метрик на комплексні показники, що інтегрують CUE, WUE та повний життєвий цикл матеріалів (LCA). Це дозволяє оцінювати вплив дата-центру не лише під час експлуатації, а й на етапах будівництва та утилізації заліза (E-waste).</w:t>
      </w:r>
    </w:p>
    <w:p w14:paraId="1C779BFA" w14:textId="77777777" w:rsidR="004977F8" w:rsidRDefault="00066F62" w:rsidP="00BD1AA2">
      <w:pPr>
        <w:pStyle w:val="af"/>
        <w:spacing w:line="360" w:lineRule="auto"/>
        <w:ind w:firstLine="708"/>
        <w:jc w:val="both"/>
        <w:rPr>
          <w:rFonts w:ascii="Times New Roman" w:hAnsi="Times New Roman" w:cs="Times New Roman"/>
          <w:sz w:val="28"/>
          <w:szCs w:val="28"/>
        </w:rPr>
      </w:pPr>
      <w:r w:rsidRPr="004977F8">
        <w:rPr>
          <w:rFonts w:ascii="Times New Roman" w:hAnsi="Times New Roman" w:cs="Times New Roman"/>
          <w:sz w:val="28"/>
          <w:szCs w:val="28"/>
        </w:rPr>
        <w:lastRenderedPageBreak/>
        <w:t>Цифровий двійник (Digital Twin) як регулятор: Стандартизація має передбачати створення «цифрового двійника» кожного ЦОД, який виступає основним інструментом екологічного нагляду. Дані в реальному часі через відкриті API-інтерфейси дозволяють міським службам бачити не лише споживання енергії, а й динаміку теплових викидів, що є основою для управління «гомеостазом» системи.</w:t>
      </w:r>
    </w:p>
    <w:p w14:paraId="418C8CB6" w14:textId="7B93E738" w:rsidR="00AB65F5" w:rsidRDefault="00066F62" w:rsidP="00BD1AA2">
      <w:pPr>
        <w:pStyle w:val="af"/>
        <w:spacing w:line="360" w:lineRule="auto"/>
        <w:ind w:firstLine="708"/>
        <w:jc w:val="both"/>
        <w:rPr>
          <w:rFonts w:ascii="Times New Roman" w:hAnsi="Times New Roman" w:cs="Times New Roman"/>
          <w:sz w:val="28"/>
          <w:szCs w:val="28"/>
        </w:rPr>
      </w:pPr>
      <w:r w:rsidRPr="004977F8">
        <w:rPr>
          <w:rFonts w:ascii="Times New Roman" w:hAnsi="Times New Roman" w:cs="Times New Roman"/>
          <w:sz w:val="28"/>
          <w:szCs w:val="28"/>
        </w:rPr>
        <w:t>Циркулярні стандарти E-waste: Нормативне закріплення принципу розширеної відповідальності виробника (EPR), де оператор ЦОД зобов’язаний забезпечити повну переробку серверного обладнання, що унеможливлює накопичення токсичних відходів.</w:t>
      </w:r>
    </w:p>
    <w:p w14:paraId="7AF1B5B9" w14:textId="77777777" w:rsidR="00A972C9" w:rsidRDefault="00A972C9" w:rsidP="00BD1AA2">
      <w:pPr>
        <w:pStyle w:val="af"/>
        <w:spacing w:line="360" w:lineRule="auto"/>
        <w:jc w:val="both"/>
        <w:rPr>
          <w:rFonts w:ascii="Times New Roman" w:hAnsi="Times New Roman" w:cs="Times New Roman"/>
          <w:sz w:val="28"/>
          <w:szCs w:val="28"/>
        </w:rPr>
      </w:pPr>
    </w:p>
    <w:p w14:paraId="63821F1D" w14:textId="07CED674" w:rsidR="008121F8" w:rsidRPr="00A972C9" w:rsidRDefault="00A972C9" w:rsidP="00BD1AA2">
      <w:pPr>
        <w:pStyle w:val="af"/>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Pr>
          <w:rFonts w:ascii="Times New Roman" w:hAnsi="Times New Roman" w:cs="Times New Roman"/>
          <w:b/>
          <w:bCs/>
          <w:sz w:val="28"/>
          <w:szCs w:val="28"/>
        </w:rPr>
        <w:tab/>
      </w:r>
      <w:r w:rsidRPr="00A972C9">
        <w:rPr>
          <w:rFonts w:ascii="Times New Roman" w:hAnsi="Times New Roman" w:cs="Times New Roman"/>
          <w:b/>
          <w:bCs/>
          <w:sz w:val="28"/>
          <w:szCs w:val="28"/>
        </w:rPr>
        <w:t>4.3 Техніко-економічне обґрунтування впровадження енергосимбіозу: світовий досвід</w:t>
      </w:r>
    </w:p>
    <w:p w14:paraId="6E12BF7B" w14:textId="4DF96C9B" w:rsidR="0060259E" w:rsidRDefault="00AB65F5" w:rsidP="00BD1AA2">
      <w:pPr>
        <w:pStyle w:val="af"/>
        <w:spacing w:line="360" w:lineRule="auto"/>
        <w:ind w:firstLine="708"/>
        <w:jc w:val="both"/>
        <w:rPr>
          <w:rFonts w:ascii="Times New Roman" w:hAnsi="Times New Roman" w:cs="Times New Roman"/>
          <w:sz w:val="28"/>
          <w:szCs w:val="28"/>
        </w:rPr>
      </w:pPr>
      <w:r w:rsidRPr="00AB65F5">
        <w:rPr>
          <w:rFonts w:ascii="Times New Roman" w:hAnsi="Times New Roman" w:cs="Times New Roman"/>
          <w:sz w:val="28"/>
          <w:szCs w:val="28"/>
        </w:rPr>
        <w:t>Досвід таких міст, як Стокгольм (Швеція) та Гельсінкі (Фінляндія), є еталонним прикладом того, як скидне тепло ЦОД стає частиною міського енергетичного балансу.</w:t>
      </w:r>
      <w:r w:rsidR="0060259E">
        <w:rPr>
          <w:rFonts w:ascii="Times New Roman" w:hAnsi="Times New Roman" w:cs="Times New Roman"/>
          <w:sz w:val="28"/>
          <w:szCs w:val="28"/>
        </w:rPr>
        <w:br w:type="page"/>
      </w:r>
    </w:p>
    <w:p w14:paraId="0B8B2FD9" w14:textId="3331A240" w:rsidR="00AB65F5" w:rsidRPr="00AB65F5" w:rsidRDefault="00BD1AA2" w:rsidP="00BD1AA2">
      <w:pPr>
        <w:pStyle w:val="af"/>
        <w:spacing w:line="360" w:lineRule="auto"/>
        <w:jc w:val="center"/>
        <w:rPr>
          <w:rFonts w:ascii="Times New Roman" w:hAnsi="Times New Roman" w:cs="Times New Roman"/>
          <w:sz w:val="28"/>
          <w:szCs w:val="28"/>
        </w:rPr>
      </w:pPr>
      <w:r w:rsidRPr="00481D50">
        <w:rPr>
          <w:rFonts w:ascii="Times New Roman" w:hAnsi="Times New Roman" w:cs="Times New Roman"/>
          <w:sz w:val="28"/>
          <w:szCs w:val="28"/>
        </w:rPr>
        <w:lastRenderedPageBreak/>
        <w:t>Таблиця 4.6. Порівняльний аналіз світових проєктів енергосимбіозу</w:t>
      </w:r>
    </w:p>
    <w:tbl>
      <w:tblPr>
        <w:tblStyle w:val="af0"/>
        <w:tblW w:w="0" w:type="auto"/>
        <w:tblLook w:val="04A0" w:firstRow="1" w:lastRow="0" w:firstColumn="1" w:lastColumn="0" w:noHBand="0" w:noVBand="1"/>
      </w:tblPr>
      <w:tblGrid>
        <w:gridCol w:w="1781"/>
        <w:gridCol w:w="2357"/>
        <w:gridCol w:w="2105"/>
        <w:gridCol w:w="3386"/>
      </w:tblGrid>
      <w:tr w:rsidR="004118C3" w14:paraId="739DB039" w14:textId="77777777" w:rsidTr="004118C3">
        <w:tc>
          <w:tcPr>
            <w:tcW w:w="2407" w:type="dxa"/>
          </w:tcPr>
          <w:p w14:paraId="367B8225" w14:textId="26E9BFAB" w:rsidR="004118C3" w:rsidRDefault="00B441D0" w:rsidP="00AB65F5">
            <w:pPr>
              <w:pStyle w:val="af"/>
              <w:spacing w:line="360" w:lineRule="auto"/>
              <w:rPr>
                <w:rFonts w:ascii="Times New Roman" w:hAnsi="Times New Roman" w:cs="Times New Roman"/>
                <w:sz w:val="28"/>
                <w:szCs w:val="28"/>
              </w:rPr>
            </w:pPr>
            <w:r w:rsidRPr="00B441D0">
              <w:rPr>
                <w:rFonts w:ascii="Times New Roman" w:hAnsi="Times New Roman" w:cs="Times New Roman"/>
                <w:sz w:val="28"/>
                <w:szCs w:val="28"/>
              </w:rPr>
              <w:t>Країна / Проєкт</w:t>
            </w:r>
          </w:p>
        </w:tc>
        <w:tc>
          <w:tcPr>
            <w:tcW w:w="2407" w:type="dxa"/>
          </w:tcPr>
          <w:p w14:paraId="3B3C84C2" w14:textId="24361432" w:rsidR="004118C3" w:rsidRDefault="00B441D0" w:rsidP="00AB65F5">
            <w:pPr>
              <w:pStyle w:val="af"/>
              <w:spacing w:line="360" w:lineRule="auto"/>
              <w:rPr>
                <w:rFonts w:ascii="Times New Roman" w:hAnsi="Times New Roman" w:cs="Times New Roman"/>
                <w:sz w:val="28"/>
                <w:szCs w:val="28"/>
              </w:rPr>
            </w:pPr>
            <w:r w:rsidRPr="00B441D0">
              <w:rPr>
                <w:rFonts w:ascii="Times New Roman" w:hAnsi="Times New Roman" w:cs="Times New Roman"/>
                <w:sz w:val="28"/>
                <w:szCs w:val="28"/>
              </w:rPr>
              <w:t>Технологія рекуперації</w:t>
            </w:r>
          </w:p>
        </w:tc>
        <w:tc>
          <w:tcPr>
            <w:tcW w:w="2407" w:type="dxa"/>
          </w:tcPr>
          <w:p w14:paraId="1BBDCC9D" w14:textId="1AD49EBA" w:rsidR="004118C3" w:rsidRDefault="00ED5A39" w:rsidP="00AB65F5">
            <w:pPr>
              <w:pStyle w:val="af"/>
              <w:spacing w:line="360" w:lineRule="auto"/>
              <w:rPr>
                <w:rFonts w:ascii="Times New Roman" w:hAnsi="Times New Roman" w:cs="Times New Roman"/>
                <w:sz w:val="28"/>
                <w:szCs w:val="28"/>
              </w:rPr>
            </w:pPr>
            <w:r w:rsidRPr="00ED5A39">
              <w:rPr>
                <w:rFonts w:ascii="Times New Roman" w:hAnsi="Times New Roman" w:cs="Times New Roman"/>
                <w:sz w:val="28"/>
                <w:szCs w:val="28"/>
              </w:rPr>
              <w:t>Споживач енергії</w:t>
            </w:r>
          </w:p>
        </w:tc>
        <w:tc>
          <w:tcPr>
            <w:tcW w:w="2408" w:type="dxa"/>
          </w:tcPr>
          <w:p w14:paraId="5B5F571C" w14:textId="5EAE5691" w:rsidR="004118C3" w:rsidRDefault="00ED5A39" w:rsidP="00AB65F5">
            <w:pPr>
              <w:pStyle w:val="af"/>
              <w:spacing w:line="360" w:lineRule="auto"/>
              <w:rPr>
                <w:rFonts w:ascii="Times New Roman" w:hAnsi="Times New Roman" w:cs="Times New Roman"/>
                <w:sz w:val="28"/>
                <w:szCs w:val="28"/>
              </w:rPr>
            </w:pPr>
            <w:r w:rsidRPr="00ED5A39">
              <w:rPr>
                <w:rFonts w:ascii="Times New Roman" w:hAnsi="Times New Roman" w:cs="Times New Roman"/>
                <w:sz w:val="28"/>
                <w:szCs w:val="28"/>
              </w:rPr>
              <w:t>Економічний/Екологічний ефект</w:t>
            </w:r>
          </w:p>
        </w:tc>
      </w:tr>
      <w:tr w:rsidR="004118C3" w14:paraId="406E3C7A" w14:textId="77777777" w:rsidTr="004118C3">
        <w:tc>
          <w:tcPr>
            <w:tcW w:w="2407" w:type="dxa"/>
          </w:tcPr>
          <w:p w14:paraId="037E7FDC" w14:textId="30D9F3E0" w:rsidR="004118C3" w:rsidRDefault="00B441D0" w:rsidP="00AB65F5">
            <w:pPr>
              <w:pStyle w:val="af"/>
              <w:spacing w:line="360" w:lineRule="auto"/>
              <w:rPr>
                <w:rFonts w:ascii="Times New Roman" w:hAnsi="Times New Roman" w:cs="Times New Roman"/>
                <w:sz w:val="28"/>
                <w:szCs w:val="28"/>
              </w:rPr>
            </w:pPr>
            <w:r w:rsidRPr="00B441D0">
              <w:rPr>
                <w:rFonts w:ascii="Times New Roman" w:hAnsi="Times New Roman" w:cs="Times New Roman"/>
                <w:b/>
                <w:bCs/>
                <w:sz w:val="28"/>
                <w:szCs w:val="28"/>
              </w:rPr>
              <w:t>Швеція (Stockholm Data Parks)</w:t>
            </w:r>
          </w:p>
        </w:tc>
        <w:tc>
          <w:tcPr>
            <w:tcW w:w="2407" w:type="dxa"/>
          </w:tcPr>
          <w:p w14:paraId="26FBC5DC" w14:textId="1BA2B273" w:rsidR="004118C3" w:rsidRDefault="00B441D0" w:rsidP="00AB65F5">
            <w:pPr>
              <w:pStyle w:val="af"/>
              <w:spacing w:line="360" w:lineRule="auto"/>
              <w:rPr>
                <w:rFonts w:ascii="Times New Roman" w:hAnsi="Times New Roman" w:cs="Times New Roman"/>
                <w:sz w:val="28"/>
                <w:szCs w:val="28"/>
              </w:rPr>
            </w:pPr>
            <w:r w:rsidRPr="00B441D0">
              <w:rPr>
                <w:rFonts w:ascii="Times New Roman" w:hAnsi="Times New Roman" w:cs="Times New Roman"/>
                <w:sz w:val="28"/>
                <w:szCs w:val="28"/>
              </w:rPr>
              <w:t>Пряма рекуперація (теплообмінники)</w:t>
            </w:r>
          </w:p>
        </w:tc>
        <w:tc>
          <w:tcPr>
            <w:tcW w:w="2407" w:type="dxa"/>
          </w:tcPr>
          <w:p w14:paraId="23E23F79" w14:textId="038A9B5F" w:rsidR="004118C3" w:rsidRDefault="00ED5A39" w:rsidP="00AB65F5">
            <w:pPr>
              <w:pStyle w:val="af"/>
              <w:spacing w:line="360" w:lineRule="auto"/>
              <w:rPr>
                <w:rFonts w:ascii="Times New Roman" w:hAnsi="Times New Roman" w:cs="Times New Roman"/>
                <w:sz w:val="28"/>
                <w:szCs w:val="28"/>
              </w:rPr>
            </w:pPr>
            <w:r w:rsidRPr="00ED5A39">
              <w:rPr>
                <w:rFonts w:ascii="Times New Roman" w:hAnsi="Times New Roman" w:cs="Times New Roman"/>
                <w:sz w:val="28"/>
                <w:szCs w:val="28"/>
              </w:rPr>
              <w:t>Житлові квартали (District Heating)</w:t>
            </w:r>
          </w:p>
        </w:tc>
        <w:tc>
          <w:tcPr>
            <w:tcW w:w="2408" w:type="dxa"/>
          </w:tcPr>
          <w:p w14:paraId="39A9C16D" w14:textId="2AF15CC7" w:rsidR="004118C3" w:rsidRDefault="00ED5A39" w:rsidP="00AB65F5">
            <w:pPr>
              <w:pStyle w:val="af"/>
              <w:spacing w:line="360" w:lineRule="auto"/>
              <w:rPr>
                <w:rFonts w:ascii="Times New Roman" w:hAnsi="Times New Roman" w:cs="Times New Roman"/>
                <w:sz w:val="28"/>
                <w:szCs w:val="28"/>
              </w:rPr>
            </w:pPr>
            <w:r w:rsidRPr="00ED5A39">
              <w:rPr>
                <w:rFonts w:ascii="Times New Roman" w:hAnsi="Times New Roman" w:cs="Times New Roman"/>
                <w:sz w:val="28"/>
                <w:szCs w:val="28"/>
              </w:rPr>
              <w:t>Покриття опалення для ~30 000 домогосподарств</w:t>
            </w:r>
          </w:p>
        </w:tc>
      </w:tr>
      <w:tr w:rsidR="004118C3" w14:paraId="2AA54D9F" w14:textId="77777777" w:rsidTr="004118C3">
        <w:tc>
          <w:tcPr>
            <w:tcW w:w="2407" w:type="dxa"/>
          </w:tcPr>
          <w:p w14:paraId="6012F1E7" w14:textId="6CA5F7CA" w:rsidR="004118C3" w:rsidRDefault="007036CF" w:rsidP="00AB65F5">
            <w:pPr>
              <w:pStyle w:val="af"/>
              <w:spacing w:line="360" w:lineRule="auto"/>
              <w:rPr>
                <w:rFonts w:ascii="Times New Roman" w:hAnsi="Times New Roman" w:cs="Times New Roman"/>
                <w:sz w:val="28"/>
                <w:szCs w:val="28"/>
              </w:rPr>
            </w:pPr>
            <w:r w:rsidRPr="007036CF">
              <w:rPr>
                <w:rFonts w:ascii="Times New Roman" w:hAnsi="Times New Roman" w:cs="Times New Roman"/>
                <w:b/>
                <w:bCs/>
                <w:sz w:val="28"/>
                <w:szCs w:val="28"/>
              </w:rPr>
              <w:t>Фінляндія (Helsinki Energy)</w:t>
            </w:r>
          </w:p>
        </w:tc>
        <w:tc>
          <w:tcPr>
            <w:tcW w:w="2407" w:type="dxa"/>
          </w:tcPr>
          <w:p w14:paraId="51D72619" w14:textId="0F9C8F28" w:rsidR="004118C3" w:rsidRDefault="007036CF" w:rsidP="00AB65F5">
            <w:pPr>
              <w:pStyle w:val="af"/>
              <w:spacing w:line="360" w:lineRule="auto"/>
              <w:rPr>
                <w:rFonts w:ascii="Times New Roman" w:hAnsi="Times New Roman" w:cs="Times New Roman"/>
                <w:sz w:val="28"/>
                <w:szCs w:val="28"/>
              </w:rPr>
            </w:pPr>
            <w:r w:rsidRPr="007036CF">
              <w:rPr>
                <w:rFonts w:ascii="Times New Roman" w:hAnsi="Times New Roman" w:cs="Times New Roman"/>
                <w:sz w:val="28"/>
                <w:szCs w:val="28"/>
              </w:rPr>
              <w:t>Великі теплові насоси</w:t>
            </w:r>
          </w:p>
        </w:tc>
        <w:tc>
          <w:tcPr>
            <w:tcW w:w="2407" w:type="dxa"/>
          </w:tcPr>
          <w:p w14:paraId="45DD7E99" w14:textId="47EF0CED" w:rsidR="004118C3" w:rsidRDefault="00ED5A39" w:rsidP="00AB65F5">
            <w:pPr>
              <w:pStyle w:val="af"/>
              <w:spacing w:line="360" w:lineRule="auto"/>
              <w:rPr>
                <w:rFonts w:ascii="Times New Roman" w:hAnsi="Times New Roman" w:cs="Times New Roman"/>
                <w:sz w:val="28"/>
                <w:szCs w:val="28"/>
              </w:rPr>
            </w:pPr>
            <w:r w:rsidRPr="00ED5A39">
              <w:rPr>
                <w:rFonts w:ascii="Times New Roman" w:hAnsi="Times New Roman" w:cs="Times New Roman"/>
                <w:sz w:val="28"/>
                <w:szCs w:val="28"/>
              </w:rPr>
              <w:t>Централізована мережа опалення</w:t>
            </w:r>
          </w:p>
        </w:tc>
        <w:tc>
          <w:tcPr>
            <w:tcW w:w="2408" w:type="dxa"/>
          </w:tcPr>
          <w:p w14:paraId="5D4E948A" w14:textId="11259F0F" w:rsidR="004118C3" w:rsidRDefault="00DE2A30" w:rsidP="00AB65F5">
            <w:pPr>
              <w:pStyle w:val="af"/>
              <w:spacing w:line="360" w:lineRule="auto"/>
              <w:rPr>
                <w:rFonts w:ascii="Times New Roman" w:hAnsi="Times New Roman" w:cs="Times New Roman"/>
                <w:sz w:val="28"/>
                <w:szCs w:val="28"/>
              </w:rPr>
            </w:pPr>
            <w:r w:rsidRPr="00DE2A30">
              <w:rPr>
                <w:rFonts w:ascii="Times New Roman" w:hAnsi="Times New Roman" w:cs="Times New Roman"/>
                <w:sz w:val="28"/>
                <w:szCs w:val="28"/>
              </w:rPr>
              <w:t>Покриття до 10-15% потреб міста в теплі</w:t>
            </w:r>
          </w:p>
        </w:tc>
      </w:tr>
      <w:tr w:rsidR="004118C3" w14:paraId="5135E677" w14:textId="77777777" w:rsidTr="004118C3">
        <w:tc>
          <w:tcPr>
            <w:tcW w:w="2407" w:type="dxa"/>
          </w:tcPr>
          <w:p w14:paraId="229F9E49" w14:textId="32348C7F" w:rsidR="004118C3" w:rsidRDefault="007036CF" w:rsidP="00AB65F5">
            <w:pPr>
              <w:pStyle w:val="af"/>
              <w:spacing w:line="360" w:lineRule="auto"/>
              <w:rPr>
                <w:rFonts w:ascii="Times New Roman" w:hAnsi="Times New Roman" w:cs="Times New Roman"/>
                <w:sz w:val="28"/>
                <w:szCs w:val="28"/>
              </w:rPr>
            </w:pPr>
            <w:r w:rsidRPr="007036CF">
              <w:rPr>
                <w:rFonts w:ascii="Times New Roman" w:hAnsi="Times New Roman" w:cs="Times New Roman"/>
                <w:b/>
                <w:bCs/>
                <w:sz w:val="28"/>
                <w:szCs w:val="28"/>
              </w:rPr>
              <w:t>Нідерланди (Amsterdam Projects)</w:t>
            </w:r>
          </w:p>
        </w:tc>
        <w:tc>
          <w:tcPr>
            <w:tcW w:w="2407" w:type="dxa"/>
          </w:tcPr>
          <w:p w14:paraId="608821F8" w14:textId="024BDA19" w:rsidR="004118C3" w:rsidRDefault="00DE2A30" w:rsidP="00AB65F5">
            <w:pPr>
              <w:pStyle w:val="af"/>
              <w:spacing w:line="360" w:lineRule="auto"/>
              <w:rPr>
                <w:rFonts w:ascii="Times New Roman" w:hAnsi="Times New Roman" w:cs="Times New Roman"/>
                <w:sz w:val="28"/>
                <w:szCs w:val="28"/>
              </w:rPr>
            </w:pPr>
            <w:r w:rsidRPr="00DE2A30">
              <w:rPr>
                <w:rFonts w:ascii="Times New Roman" w:hAnsi="Times New Roman" w:cs="Times New Roman"/>
                <w:sz w:val="28"/>
                <w:szCs w:val="28"/>
              </w:rPr>
              <w:t>Прямий теплообмін</w:t>
            </w:r>
          </w:p>
        </w:tc>
        <w:tc>
          <w:tcPr>
            <w:tcW w:w="2407" w:type="dxa"/>
          </w:tcPr>
          <w:p w14:paraId="618C23EC" w14:textId="66801A27" w:rsidR="004118C3" w:rsidRDefault="00DE2A30" w:rsidP="00AB65F5">
            <w:pPr>
              <w:pStyle w:val="af"/>
              <w:spacing w:line="360" w:lineRule="auto"/>
              <w:rPr>
                <w:rFonts w:ascii="Times New Roman" w:hAnsi="Times New Roman" w:cs="Times New Roman"/>
                <w:sz w:val="28"/>
                <w:szCs w:val="28"/>
              </w:rPr>
            </w:pPr>
            <w:r w:rsidRPr="00DE2A30">
              <w:rPr>
                <w:rFonts w:ascii="Times New Roman" w:hAnsi="Times New Roman" w:cs="Times New Roman"/>
                <w:sz w:val="28"/>
                <w:szCs w:val="28"/>
              </w:rPr>
              <w:t>Тепличні господарства (агросектор)</w:t>
            </w:r>
          </w:p>
        </w:tc>
        <w:tc>
          <w:tcPr>
            <w:tcW w:w="2408" w:type="dxa"/>
          </w:tcPr>
          <w:p w14:paraId="584B061A" w14:textId="1107E7A1" w:rsidR="004118C3" w:rsidRDefault="00DE2A30" w:rsidP="00AB65F5">
            <w:pPr>
              <w:pStyle w:val="af"/>
              <w:spacing w:line="360" w:lineRule="auto"/>
              <w:rPr>
                <w:rFonts w:ascii="Times New Roman" w:hAnsi="Times New Roman" w:cs="Times New Roman"/>
                <w:sz w:val="28"/>
                <w:szCs w:val="28"/>
              </w:rPr>
            </w:pPr>
            <w:r w:rsidRPr="00DE2A30">
              <w:rPr>
                <w:rFonts w:ascii="Times New Roman" w:hAnsi="Times New Roman" w:cs="Times New Roman"/>
                <w:sz w:val="28"/>
                <w:szCs w:val="28"/>
              </w:rPr>
              <w:t>Високий ROI завдяки енерготарифам</w:t>
            </w:r>
          </w:p>
        </w:tc>
      </w:tr>
      <w:tr w:rsidR="004118C3" w14:paraId="3ACE751A" w14:textId="77777777" w:rsidTr="004118C3">
        <w:tc>
          <w:tcPr>
            <w:tcW w:w="2407" w:type="dxa"/>
          </w:tcPr>
          <w:p w14:paraId="1BD746F6" w14:textId="0D626943" w:rsidR="004118C3" w:rsidRDefault="00ED35EF" w:rsidP="00AB65F5">
            <w:pPr>
              <w:pStyle w:val="af"/>
              <w:spacing w:line="360" w:lineRule="auto"/>
              <w:rPr>
                <w:rFonts w:ascii="Times New Roman" w:hAnsi="Times New Roman" w:cs="Times New Roman"/>
                <w:sz w:val="28"/>
                <w:szCs w:val="28"/>
              </w:rPr>
            </w:pPr>
            <w:r w:rsidRPr="00ED35EF">
              <w:rPr>
                <w:rFonts w:ascii="Times New Roman" w:hAnsi="Times New Roman" w:cs="Times New Roman"/>
                <w:b/>
                <w:bCs/>
                <w:sz w:val="28"/>
                <w:szCs w:val="28"/>
              </w:rPr>
              <w:t>Німеччина (Frankfurt Projects)</w:t>
            </w:r>
          </w:p>
        </w:tc>
        <w:tc>
          <w:tcPr>
            <w:tcW w:w="2407" w:type="dxa"/>
          </w:tcPr>
          <w:p w14:paraId="2CCA1C24" w14:textId="1887777C" w:rsidR="004118C3" w:rsidRDefault="00ED35EF" w:rsidP="00AB65F5">
            <w:pPr>
              <w:pStyle w:val="af"/>
              <w:spacing w:line="360" w:lineRule="auto"/>
              <w:rPr>
                <w:rFonts w:ascii="Times New Roman" w:hAnsi="Times New Roman" w:cs="Times New Roman"/>
                <w:sz w:val="28"/>
                <w:szCs w:val="28"/>
              </w:rPr>
            </w:pPr>
            <w:r w:rsidRPr="00ED35EF">
              <w:rPr>
                <w:rFonts w:ascii="Times New Roman" w:hAnsi="Times New Roman" w:cs="Times New Roman"/>
                <w:sz w:val="28"/>
                <w:szCs w:val="28"/>
              </w:rPr>
              <w:t>Гібридні системи (ЦОД + Офіси)</w:t>
            </w:r>
          </w:p>
        </w:tc>
        <w:tc>
          <w:tcPr>
            <w:tcW w:w="2407" w:type="dxa"/>
          </w:tcPr>
          <w:p w14:paraId="60A66393" w14:textId="128991C0" w:rsidR="004118C3" w:rsidRDefault="00ED35EF" w:rsidP="00AB65F5">
            <w:pPr>
              <w:pStyle w:val="af"/>
              <w:spacing w:line="360" w:lineRule="auto"/>
              <w:rPr>
                <w:rFonts w:ascii="Times New Roman" w:hAnsi="Times New Roman" w:cs="Times New Roman"/>
                <w:sz w:val="28"/>
                <w:szCs w:val="28"/>
              </w:rPr>
            </w:pPr>
            <w:r w:rsidRPr="00ED35EF">
              <w:rPr>
                <w:rFonts w:ascii="Times New Roman" w:hAnsi="Times New Roman" w:cs="Times New Roman"/>
                <w:sz w:val="28"/>
                <w:szCs w:val="28"/>
              </w:rPr>
              <w:t>Офісні центри (комерційна нерухомість)</w:t>
            </w:r>
          </w:p>
        </w:tc>
        <w:tc>
          <w:tcPr>
            <w:tcW w:w="2408" w:type="dxa"/>
          </w:tcPr>
          <w:p w14:paraId="6A46D7B7" w14:textId="4213D7CD" w:rsidR="004118C3" w:rsidRDefault="0060259E" w:rsidP="00AB65F5">
            <w:pPr>
              <w:pStyle w:val="af"/>
              <w:spacing w:line="360" w:lineRule="auto"/>
              <w:rPr>
                <w:rFonts w:ascii="Times New Roman" w:hAnsi="Times New Roman" w:cs="Times New Roman"/>
                <w:sz w:val="28"/>
                <w:szCs w:val="28"/>
              </w:rPr>
            </w:pPr>
            <w:r w:rsidRPr="0060259E">
              <w:rPr>
                <w:rFonts w:ascii="Times New Roman" w:hAnsi="Times New Roman" w:cs="Times New Roman"/>
                <w:sz w:val="28"/>
                <w:szCs w:val="28"/>
              </w:rPr>
              <w:t>Скорочення викидів CO2 на 20-30%</w:t>
            </w:r>
          </w:p>
        </w:tc>
      </w:tr>
    </w:tbl>
    <w:p w14:paraId="60D76F2E" w14:textId="466F342E" w:rsidR="00AB65F5" w:rsidRPr="00481D50" w:rsidRDefault="00AB65F5" w:rsidP="00AB65F5">
      <w:pPr>
        <w:pStyle w:val="af"/>
        <w:spacing w:line="360" w:lineRule="auto"/>
        <w:rPr>
          <w:rFonts w:ascii="Times New Roman" w:hAnsi="Times New Roman" w:cs="Times New Roman"/>
          <w:sz w:val="28"/>
          <w:szCs w:val="28"/>
        </w:rPr>
      </w:pPr>
    </w:p>
    <w:p w14:paraId="39C3ACF4" w14:textId="19DD6156" w:rsidR="00F33CF5" w:rsidRDefault="00BD1AA2" w:rsidP="00BD1AA2">
      <w:pPr>
        <w:pStyle w:val="a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00AB65F5" w:rsidRPr="00AB65F5">
        <w:rPr>
          <w:rFonts w:ascii="Times New Roman" w:hAnsi="Times New Roman" w:cs="Times New Roman"/>
          <w:sz w:val="28"/>
          <w:szCs w:val="28"/>
        </w:rPr>
        <w:t>наліз показує, що найбільш успішними є проєкти, де температурні параметри скидного тепла (50-65°C) збігаються з вимогами споживачів (пряма рекуперація). У проєктах, де температура нижча, економічну доцільність забезпечує використання теплових насосів, що підвищують ексергетичний потенціал (температурний "ліфт") Техніко-економічні показники (ТЕО): CapEx та OpEx</w:t>
      </w:r>
      <w:r w:rsidR="00F33CF5">
        <w:rPr>
          <w:rFonts w:ascii="Times New Roman" w:hAnsi="Times New Roman" w:cs="Times New Roman"/>
          <w:sz w:val="28"/>
          <w:szCs w:val="28"/>
        </w:rPr>
        <w:t>.</w:t>
      </w:r>
    </w:p>
    <w:p w14:paraId="545007C7" w14:textId="62AC7765" w:rsidR="00AB65F5" w:rsidRPr="00AB65F5" w:rsidRDefault="00AB65F5" w:rsidP="00BD1AA2">
      <w:pPr>
        <w:pStyle w:val="af"/>
        <w:spacing w:line="360" w:lineRule="auto"/>
        <w:ind w:firstLine="708"/>
        <w:jc w:val="both"/>
        <w:rPr>
          <w:rFonts w:ascii="Times New Roman" w:hAnsi="Times New Roman" w:cs="Times New Roman"/>
          <w:sz w:val="28"/>
          <w:szCs w:val="28"/>
        </w:rPr>
      </w:pPr>
      <w:r w:rsidRPr="00AB65F5">
        <w:rPr>
          <w:rFonts w:ascii="Times New Roman" w:hAnsi="Times New Roman" w:cs="Times New Roman"/>
          <w:sz w:val="28"/>
          <w:szCs w:val="28"/>
        </w:rPr>
        <w:t>Економічне обґрунтування впровадження енергосимбіозу базується на порівнянні капітальних витрат (CapEx) та операційної ефективності (OpEx) порівняно з традиційними системами (де тепло викидається в атмосферу).</w:t>
      </w:r>
    </w:p>
    <w:p w14:paraId="6842DF0D" w14:textId="2B3569A5" w:rsidR="004145BB" w:rsidRDefault="00BD1AA2" w:rsidP="00BD1AA2">
      <w:pPr>
        <w:pStyle w:val="af"/>
        <w:spacing w:line="360" w:lineRule="auto"/>
        <w:jc w:val="center"/>
        <w:rPr>
          <w:rFonts w:ascii="Times New Roman" w:hAnsi="Times New Roman" w:cs="Times New Roman"/>
          <w:sz w:val="28"/>
          <w:szCs w:val="28"/>
        </w:rPr>
      </w:pPr>
      <w:r w:rsidRPr="004145BB">
        <w:rPr>
          <w:rFonts w:ascii="Times New Roman" w:hAnsi="Times New Roman" w:cs="Times New Roman"/>
          <w:sz w:val="28"/>
          <w:szCs w:val="28"/>
        </w:rPr>
        <w:t>Таблиця 4.4.2. Порівняння техніко-економічних показників (CapEx/OpEx)</w:t>
      </w:r>
    </w:p>
    <w:tbl>
      <w:tblPr>
        <w:tblStyle w:val="af0"/>
        <w:tblW w:w="0" w:type="auto"/>
        <w:tblLook w:val="04A0" w:firstRow="1" w:lastRow="0" w:firstColumn="1" w:lastColumn="0" w:noHBand="0" w:noVBand="1"/>
      </w:tblPr>
      <w:tblGrid>
        <w:gridCol w:w="2407"/>
        <w:gridCol w:w="2407"/>
        <w:gridCol w:w="2407"/>
        <w:gridCol w:w="2408"/>
      </w:tblGrid>
      <w:tr w:rsidR="0078283C" w14:paraId="60E89A52" w14:textId="77777777" w:rsidTr="0078283C">
        <w:tc>
          <w:tcPr>
            <w:tcW w:w="2407" w:type="dxa"/>
          </w:tcPr>
          <w:p w14:paraId="1A573E67" w14:textId="63216F5A" w:rsidR="0078283C" w:rsidRDefault="0078283C" w:rsidP="00AB65F5">
            <w:pPr>
              <w:pStyle w:val="af"/>
              <w:spacing w:line="360" w:lineRule="auto"/>
              <w:rPr>
                <w:rFonts w:ascii="Times New Roman" w:hAnsi="Times New Roman" w:cs="Times New Roman"/>
                <w:sz w:val="28"/>
                <w:szCs w:val="28"/>
              </w:rPr>
            </w:pPr>
            <w:r w:rsidRPr="0078283C">
              <w:rPr>
                <w:rFonts w:ascii="Times New Roman" w:hAnsi="Times New Roman" w:cs="Times New Roman"/>
                <w:sz w:val="28"/>
                <w:szCs w:val="28"/>
              </w:rPr>
              <w:t>Параметр порівняння</w:t>
            </w:r>
          </w:p>
        </w:tc>
        <w:tc>
          <w:tcPr>
            <w:tcW w:w="2407" w:type="dxa"/>
          </w:tcPr>
          <w:p w14:paraId="2001B87B" w14:textId="2607A48E" w:rsidR="0078283C" w:rsidRDefault="00AF0D8C" w:rsidP="00AB65F5">
            <w:pPr>
              <w:pStyle w:val="af"/>
              <w:spacing w:line="360" w:lineRule="auto"/>
              <w:rPr>
                <w:rFonts w:ascii="Times New Roman" w:hAnsi="Times New Roman" w:cs="Times New Roman"/>
                <w:sz w:val="28"/>
                <w:szCs w:val="28"/>
              </w:rPr>
            </w:pPr>
            <w:r w:rsidRPr="00AF0D8C">
              <w:rPr>
                <w:rFonts w:ascii="Times New Roman" w:hAnsi="Times New Roman" w:cs="Times New Roman"/>
                <w:sz w:val="28"/>
                <w:szCs w:val="28"/>
              </w:rPr>
              <w:t>Без рекуперації (Стандарт)</w:t>
            </w:r>
          </w:p>
        </w:tc>
        <w:tc>
          <w:tcPr>
            <w:tcW w:w="2407" w:type="dxa"/>
          </w:tcPr>
          <w:p w14:paraId="7D0F0FF6" w14:textId="29341334" w:rsidR="0078283C" w:rsidRDefault="00AF0D8C" w:rsidP="00AB65F5">
            <w:pPr>
              <w:pStyle w:val="af"/>
              <w:spacing w:line="360" w:lineRule="auto"/>
              <w:rPr>
                <w:rFonts w:ascii="Times New Roman" w:hAnsi="Times New Roman" w:cs="Times New Roman"/>
                <w:sz w:val="28"/>
                <w:szCs w:val="28"/>
              </w:rPr>
            </w:pPr>
            <w:r w:rsidRPr="00AF0D8C">
              <w:rPr>
                <w:rFonts w:ascii="Times New Roman" w:hAnsi="Times New Roman" w:cs="Times New Roman"/>
                <w:sz w:val="28"/>
                <w:szCs w:val="28"/>
              </w:rPr>
              <w:t>З рекуперацією (Симбіоз)</w:t>
            </w:r>
          </w:p>
        </w:tc>
        <w:tc>
          <w:tcPr>
            <w:tcW w:w="2408" w:type="dxa"/>
          </w:tcPr>
          <w:p w14:paraId="45E442EF" w14:textId="7B567F7C" w:rsidR="0078283C" w:rsidRDefault="00AF0D8C" w:rsidP="00AB65F5">
            <w:pPr>
              <w:pStyle w:val="af"/>
              <w:spacing w:line="360" w:lineRule="auto"/>
              <w:rPr>
                <w:rFonts w:ascii="Times New Roman" w:hAnsi="Times New Roman" w:cs="Times New Roman"/>
                <w:sz w:val="28"/>
                <w:szCs w:val="28"/>
              </w:rPr>
            </w:pPr>
            <w:r w:rsidRPr="00AF0D8C">
              <w:rPr>
                <w:rFonts w:ascii="Times New Roman" w:hAnsi="Times New Roman" w:cs="Times New Roman"/>
                <w:sz w:val="28"/>
                <w:szCs w:val="28"/>
              </w:rPr>
              <w:t>Вплив на економіку проєкту</w:t>
            </w:r>
          </w:p>
        </w:tc>
      </w:tr>
      <w:tr w:rsidR="0078283C" w14:paraId="7C152D4C" w14:textId="77777777" w:rsidTr="0078283C">
        <w:tc>
          <w:tcPr>
            <w:tcW w:w="2407" w:type="dxa"/>
          </w:tcPr>
          <w:p w14:paraId="56753147" w14:textId="705A3FFD" w:rsidR="0078283C" w:rsidRDefault="00AF0D8C" w:rsidP="00AB65F5">
            <w:pPr>
              <w:pStyle w:val="af"/>
              <w:spacing w:line="360" w:lineRule="auto"/>
              <w:rPr>
                <w:rFonts w:ascii="Times New Roman" w:hAnsi="Times New Roman" w:cs="Times New Roman"/>
                <w:sz w:val="28"/>
                <w:szCs w:val="28"/>
              </w:rPr>
            </w:pPr>
            <w:r w:rsidRPr="00AF0D8C">
              <w:rPr>
                <w:rFonts w:ascii="Times New Roman" w:hAnsi="Times New Roman" w:cs="Times New Roman"/>
                <w:b/>
                <w:bCs/>
                <w:sz w:val="28"/>
                <w:szCs w:val="28"/>
              </w:rPr>
              <w:lastRenderedPageBreak/>
              <w:t>Капітальні витрати (CapEx)</w:t>
            </w:r>
          </w:p>
        </w:tc>
        <w:tc>
          <w:tcPr>
            <w:tcW w:w="2407" w:type="dxa"/>
          </w:tcPr>
          <w:p w14:paraId="68F04370" w14:textId="2E6FB6AA" w:rsidR="0078283C" w:rsidRDefault="00AF0D8C" w:rsidP="00AB65F5">
            <w:pPr>
              <w:pStyle w:val="af"/>
              <w:spacing w:line="360" w:lineRule="auto"/>
              <w:rPr>
                <w:rFonts w:ascii="Times New Roman" w:hAnsi="Times New Roman" w:cs="Times New Roman"/>
                <w:sz w:val="28"/>
                <w:szCs w:val="28"/>
              </w:rPr>
            </w:pPr>
            <w:r w:rsidRPr="00AF0D8C">
              <w:rPr>
                <w:rFonts w:ascii="Times New Roman" w:hAnsi="Times New Roman" w:cs="Times New Roman"/>
                <w:sz w:val="28"/>
                <w:szCs w:val="28"/>
              </w:rPr>
              <w:t>Базовий рівень</w:t>
            </w:r>
          </w:p>
        </w:tc>
        <w:tc>
          <w:tcPr>
            <w:tcW w:w="2407" w:type="dxa"/>
          </w:tcPr>
          <w:p w14:paraId="645806F0" w14:textId="129FECEB" w:rsidR="0078283C" w:rsidRDefault="005C2871" w:rsidP="00AB65F5">
            <w:pPr>
              <w:pStyle w:val="af"/>
              <w:spacing w:line="360" w:lineRule="auto"/>
              <w:rPr>
                <w:rFonts w:ascii="Times New Roman" w:hAnsi="Times New Roman" w:cs="Times New Roman"/>
                <w:sz w:val="28"/>
                <w:szCs w:val="28"/>
              </w:rPr>
            </w:pPr>
            <w:r w:rsidRPr="005C2871">
              <w:rPr>
                <w:rFonts w:ascii="Times New Roman" w:hAnsi="Times New Roman" w:cs="Times New Roman"/>
                <w:sz w:val="28"/>
                <w:szCs w:val="28"/>
              </w:rPr>
              <w:t>Вищі на 10–15%</w:t>
            </w:r>
          </w:p>
        </w:tc>
        <w:tc>
          <w:tcPr>
            <w:tcW w:w="2408" w:type="dxa"/>
          </w:tcPr>
          <w:p w14:paraId="200F0A91" w14:textId="77F2B2F5" w:rsidR="0078283C" w:rsidRDefault="005C2871" w:rsidP="00AB65F5">
            <w:pPr>
              <w:pStyle w:val="af"/>
              <w:spacing w:line="360" w:lineRule="auto"/>
              <w:rPr>
                <w:rFonts w:ascii="Times New Roman" w:hAnsi="Times New Roman" w:cs="Times New Roman"/>
                <w:sz w:val="28"/>
                <w:szCs w:val="28"/>
              </w:rPr>
            </w:pPr>
            <w:r w:rsidRPr="005C2871">
              <w:rPr>
                <w:rFonts w:ascii="Times New Roman" w:hAnsi="Times New Roman" w:cs="Times New Roman"/>
                <w:sz w:val="28"/>
                <w:szCs w:val="28"/>
              </w:rPr>
              <w:t>Додаткова інвестиція в інженерію</w:t>
            </w:r>
          </w:p>
        </w:tc>
      </w:tr>
      <w:tr w:rsidR="0078283C" w14:paraId="1CEA87EC" w14:textId="77777777" w:rsidTr="0078283C">
        <w:tc>
          <w:tcPr>
            <w:tcW w:w="2407" w:type="dxa"/>
          </w:tcPr>
          <w:p w14:paraId="5377A788" w14:textId="3B1CA594" w:rsidR="0078283C" w:rsidRDefault="00EB0FE1" w:rsidP="00AB65F5">
            <w:pPr>
              <w:pStyle w:val="af"/>
              <w:spacing w:line="360" w:lineRule="auto"/>
              <w:rPr>
                <w:rFonts w:ascii="Times New Roman" w:hAnsi="Times New Roman" w:cs="Times New Roman"/>
                <w:sz w:val="28"/>
                <w:szCs w:val="28"/>
              </w:rPr>
            </w:pPr>
            <w:r w:rsidRPr="00EB0FE1">
              <w:rPr>
                <w:rFonts w:ascii="Times New Roman" w:hAnsi="Times New Roman" w:cs="Times New Roman"/>
                <w:b/>
                <w:bCs/>
                <w:sz w:val="28"/>
                <w:szCs w:val="28"/>
              </w:rPr>
              <w:t>Операційні витрати (OpEx)</w:t>
            </w:r>
          </w:p>
        </w:tc>
        <w:tc>
          <w:tcPr>
            <w:tcW w:w="2407" w:type="dxa"/>
          </w:tcPr>
          <w:p w14:paraId="3062EE0A" w14:textId="793D4D21" w:rsidR="0078283C" w:rsidRDefault="00EB0FE1" w:rsidP="00AB65F5">
            <w:pPr>
              <w:pStyle w:val="af"/>
              <w:spacing w:line="360" w:lineRule="auto"/>
              <w:rPr>
                <w:rFonts w:ascii="Times New Roman" w:hAnsi="Times New Roman" w:cs="Times New Roman"/>
                <w:sz w:val="28"/>
                <w:szCs w:val="28"/>
              </w:rPr>
            </w:pPr>
            <w:r w:rsidRPr="00EB0FE1">
              <w:rPr>
                <w:rFonts w:ascii="Times New Roman" w:hAnsi="Times New Roman" w:cs="Times New Roman"/>
                <w:sz w:val="28"/>
                <w:szCs w:val="28"/>
              </w:rPr>
              <w:t>Високі (охолодження)</w:t>
            </w:r>
          </w:p>
        </w:tc>
        <w:tc>
          <w:tcPr>
            <w:tcW w:w="2407" w:type="dxa"/>
          </w:tcPr>
          <w:p w14:paraId="5E52C31B" w14:textId="33484987" w:rsidR="0078283C" w:rsidRDefault="005C2871" w:rsidP="00AB65F5">
            <w:pPr>
              <w:pStyle w:val="af"/>
              <w:spacing w:line="360" w:lineRule="auto"/>
              <w:rPr>
                <w:rFonts w:ascii="Times New Roman" w:hAnsi="Times New Roman" w:cs="Times New Roman"/>
                <w:sz w:val="28"/>
                <w:szCs w:val="28"/>
              </w:rPr>
            </w:pPr>
            <w:r w:rsidRPr="005C2871">
              <w:rPr>
                <w:rFonts w:ascii="Times New Roman" w:hAnsi="Times New Roman" w:cs="Times New Roman"/>
                <w:sz w:val="28"/>
                <w:szCs w:val="28"/>
              </w:rPr>
              <w:t>Нижчі (монетизація тепла)</w:t>
            </w:r>
          </w:p>
        </w:tc>
        <w:tc>
          <w:tcPr>
            <w:tcW w:w="2408" w:type="dxa"/>
          </w:tcPr>
          <w:p w14:paraId="2813DBF8" w14:textId="06CBD366" w:rsidR="0078283C" w:rsidRDefault="005C2871" w:rsidP="00AB65F5">
            <w:pPr>
              <w:pStyle w:val="af"/>
              <w:spacing w:line="360" w:lineRule="auto"/>
              <w:rPr>
                <w:rFonts w:ascii="Times New Roman" w:hAnsi="Times New Roman" w:cs="Times New Roman"/>
                <w:sz w:val="28"/>
                <w:szCs w:val="28"/>
              </w:rPr>
            </w:pPr>
            <w:r w:rsidRPr="005C2871">
              <w:rPr>
                <w:rFonts w:ascii="Times New Roman" w:hAnsi="Times New Roman" w:cs="Times New Roman"/>
                <w:sz w:val="28"/>
                <w:szCs w:val="28"/>
              </w:rPr>
              <w:t>Зниження витрат на експлуатацію</w:t>
            </w:r>
          </w:p>
        </w:tc>
      </w:tr>
      <w:tr w:rsidR="0078283C" w14:paraId="3DB3E8CD" w14:textId="77777777" w:rsidTr="0078283C">
        <w:tc>
          <w:tcPr>
            <w:tcW w:w="2407" w:type="dxa"/>
          </w:tcPr>
          <w:p w14:paraId="6C6D1F81" w14:textId="48C786E8" w:rsidR="0078283C" w:rsidRDefault="00EB0FE1" w:rsidP="00AB65F5">
            <w:pPr>
              <w:pStyle w:val="af"/>
              <w:spacing w:line="360" w:lineRule="auto"/>
              <w:rPr>
                <w:rFonts w:ascii="Times New Roman" w:hAnsi="Times New Roman" w:cs="Times New Roman"/>
                <w:sz w:val="28"/>
                <w:szCs w:val="28"/>
              </w:rPr>
            </w:pPr>
            <w:r w:rsidRPr="00EB0FE1">
              <w:rPr>
                <w:rFonts w:ascii="Times New Roman" w:hAnsi="Times New Roman" w:cs="Times New Roman"/>
                <w:b/>
                <w:bCs/>
                <w:sz w:val="28"/>
                <w:szCs w:val="28"/>
              </w:rPr>
              <w:t>Статус проєкту</w:t>
            </w:r>
          </w:p>
        </w:tc>
        <w:tc>
          <w:tcPr>
            <w:tcW w:w="2407" w:type="dxa"/>
          </w:tcPr>
          <w:p w14:paraId="315E8F9A" w14:textId="224B7E46" w:rsidR="0078283C" w:rsidRDefault="00F84BF0" w:rsidP="00AB65F5">
            <w:pPr>
              <w:pStyle w:val="af"/>
              <w:spacing w:line="360" w:lineRule="auto"/>
              <w:rPr>
                <w:rFonts w:ascii="Times New Roman" w:hAnsi="Times New Roman" w:cs="Times New Roman"/>
                <w:sz w:val="28"/>
                <w:szCs w:val="28"/>
              </w:rPr>
            </w:pPr>
            <w:r w:rsidRPr="00F84BF0">
              <w:rPr>
                <w:rFonts w:ascii="Times New Roman" w:hAnsi="Times New Roman" w:cs="Times New Roman"/>
                <w:sz w:val="28"/>
                <w:szCs w:val="28"/>
              </w:rPr>
              <w:t>Витратний центр</w:t>
            </w:r>
          </w:p>
        </w:tc>
        <w:tc>
          <w:tcPr>
            <w:tcW w:w="2407" w:type="dxa"/>
          </w:tcPr>
          <w:p w14:paraId="13B7C49D" w14:textId="4041F042" w:rsidR="0078283C" w:rsidRDefault="0005384F" w:rsidP="00AB65F5">
            <w:pPr>
              <w:pStyle w:val="af"/>
              <w:spacing w:line="360" w:lineRule="auto"/>
              <w:rPr>
                <w:rFonts w:ascii="Times New Roman" w:hAnsi="Times New Roman" w:cs="Times New Roman"/>
                <w:sz w:val="28"/>
                <w:szCs w:val="28"/>
              </w:rPr>
            </w:pPr>
            <w:r w:rsidRPr="0005384F">
              <w:rPr>
                <w:rFonts w:ascii="Times New Roman" w:hAnsi="Times New Roman" w:cs="Times New Roman"/>
                <w:sz w:val="28"/>
                <w:szCs w:val="28"/>
              </w:rPr>
              <w:t>Центр отримання прибутку</w:t>
            </w:r>
          </w:p>
        </w:tc>
        <w:tc>
          <w:tcPr>
            <w:tcW w:w="2408" w:type="dxa"/>
          </w:tcPr>
          <w:p w14:paraId="0BFE8152" w14:textId="469B58CB" w:rsidR="0078283C" w:rsidRDefault="0005384F" w:rsidP="00AB65F5">
            <w:pPr>
              <w:pStyle w:val="af"/>
              <w:spacing w:line="360" w:lineRule="auto"/>
              <w:rPr>
                <w:rFonts w:ascii="Times New Roman" w:hAnsi="Times New Roman" w:cs="Times New Roman"/>
                <w:sz w:val="28"/>
                <w:szCs w:val="28"/>
              </w:rPr>
            </w:pPr>
            <w:r w:rsidRPr="0005384F">
              <w:rPr>
                <w:rFonts w:ascii="Times New Roman" w:hAnsi="Times New Roman" w:cs="Times New Roman"/>
                <w:sz w:val="28"/>
                <w:szCs w:val="28"/>
              </w:rPr>
              <w:t>Монетизація "відходів" (тепла)</w:t>
            </w:r>
          </w:p>
        </w:tc>
      </w:tr>
      <w:tr w:rsidR="0078283C" w14:paraId="0CDDA9D0" w14:textId="77777777" w:rsidTr="0078283C">
        <w:tc>
          <w:tcPr>
            <w:tcW w:w="2407" w:type="dxa"/>
          </w:tcPr>
          <w:p w14:paraId="39F6DB49" w14:textId="30004B9C" w:rsidR="0078283C" w:rsidRDefault="00F84BF0" w:rsidP="00AB65F5">
            <w:pPr>
              <w:pStyle w:val="af"/>
              <w:spacing w:line="360" w:lineRule="auto"/>
              <w:rPr>
                <w:rFonts w:ascii="Times New Roman" w:hAnsi="Times New Roman" w:cs="Times New Roman"/>
                <w:sz w:val="28"/>
                <w:szCs w:val="28"/>
              </w:rPr>
            </w:pPr>
            <w:r w:rsidRPr="00F84BF0">
              <w:rPr>
                <w:rFonts w:ascii="Times New Roman" w:hAnsi="Times New Roman" w:cs="Times New Roman"/>
                <w:b/>
                <w:bCs/>
                <w:sz w:val="28"/>
                <w:szCs w:val="28"/>
              </w:rPr>
              <w:t>Вплив на ESG-рейтинг</w:t>
            </w:r>
          </w:p>
        </w:tc>
        <w:tc>
          <w:tcPr>
            <w:tcW w:w="2407" w:type="dxa"/>
          </w:tcPr>
          <w:p w14:paraId="4E475F0D" w14:textId="0EA4653C" w:rsidR="0078283C" w:rsidRDefault="00F84BF0" w:rsidP="00AB65F5">
            <w:pPr>
              <w:pStyle w:val="af"/>
              <w:spacing w:line="360" w:lineRule="auto"/>
              <w:rPr>
                <w:rFonts w:ascii="Times New Roman" w:hAnsi="Times New Roman" w:cs="Times New Roman"/>
                <w:sz w:val="28"/>
                <w:szCs w:val="28"/>
              </w:rPr>
            </w:pPr>
            <w:r w:rsidRPr="00F84BF0">
              <w:rPr>
                <w:rFonts w:ascii="Times New Roman" w:hAnsi="Times New Roman" w:cs="Times New Roman"/>
                <w:sz w:val="28"/>
                <w:szCs w:val="28"/>
              </w:rPr>
              <w:t>Низький</w:t>
            </w:r>
          </w:p>
        </w:tc>
        <w:tc>
          <w:tcPr>
            <w:tcW w:w="2407" w:type="dxa"/>
          </w:tcPr>
          <w:p w14:paraId="23166644" w14:textId="13019AA8" w:rsidR="0078283C" w:rsidRDefault="00F84BF0" w:rsidP="00AB65F5">
            <w:pPr>
              <w:pStyle w:val="af"/>
              <w:spacing w:line="360" w:lineRule="auto"/>
              <w:rPr>
                <w:rFonts w:ascii="Times New Roman" w:hAnsi="Times New Roman" w:cs="Times New Roman"/>
                <w:sz w:val="28"/>
                <w:szCs w:val="28"/>
              </w:rPr>
            </w:pPr>
            <w:r w:rsidRPr="00F84BF0">
              <w:rPr>
                <w:rFonts w:ascii="Times New Roman" w:hAnsi="Times New Roman" w:cs="Times New Roman"/>
                <w:sz w:val="28"/>
                <w:szCs w:val="28"/>
              </w:rPr>
              <w:t>Високий</w:t>
            </w:r>
          </w:p>
        </w:tc>
        <w:tc>
          <w:tcPr>
            <w:tcW w:w="2408" w:type="dxa"/>
          </w:tcPr>
          <w:p w14:paraId="47B66F65" w14:textId="77777777" w:rsidR="0005384F" w:rsidRPr="00137379" w:rsidRDefault="0005384F" w:rsidP="00137379">
            <w:pPr>
              <w:pStyle w:val="af"/>
              <w:rPr>
                <w:rFonts w:ascii="Times New Roman" w:hAnsi="Times New Roman" w:cs="Times New Roman"/>
                <w:sz w:val="28"/>
                <w:szCs w:val="28"/>
              </w:rPr>
            </w:pPr>
            <w:r>
              <w:br/>
            </w:r>
            <w:r w:rsidRPr="00137379">
              <w:rPr>
                <w:rFonts w:ascii="Times New Roman" w:hAnsi="Times New Roman" w:cs="Times New Roman"/>
                <w:sz w:val="28"/>
                <w:szCs w:val="28"/>
              </w:rPr>
              <w:t>Доступ до "зеленого" фінансування</w:t>
            </w:r>
          </w:p>
          <w:p w14:paraId="2D5E11CD" w14:textId="77777777" w:rsidR="0078283C" w:rsidRDefault="0078283C" w:rsidP="00AB65F5">
            <w:pPr>
              <w:pStyle w:val="af"/>
              <w:spacing w:line="360" w:lineRule="auto"/>
              <w:rPr>
                <w:rFonts w:ascii="Times New Roman" w:hAnsi="Times New Roman" w:cs="Times New Roman"/>
                <w:sz w:val="28"/>
                <w:szCs w:val="28"/>
              </w:rPr>
            </w:pPr>
          </w:p>
        </w:tc>
      </w:tr>
    </w:tbl>
    <w:p w14:paraId="40A639B0" w14:textId="613E399F" w:rsidR="004145BB" w:rsidRDefault="004145BB" w:rsidP="00AB65F5">
      <w:pPr>
        <w:pStyle w:val="af"/>
        <w:spacing w:line="360" w:lineRule="auto"/>
        <w:rPr>
          <w:rFonts w:ascii="Times New Roman" w:hAnsi="Times New Roman" w:cs="Times New Roman"/>
          <w:sz w:val="28"/>
          <w:szCs w:val="28"/>
        </w:rPr>
      </w:pPr>
    </w:p>
    <w:p w14:paraId="4669E6C8" w14:textId="77777777" w:rsidR="00BD1AA2" w:rsidRDefault="00AB65F5" w:rsidP="00BD1AA2">
      <w:pPr>
        <w:pStyle w:val="af"/>
        <w:spacing w:line="360" w:lineRule="auto"/>
        <w:ind w:firstLine="708"/>
        <w:jc w:val="both"/>
        <w:rPr>
          <w:rFonts w:ascii="Times New Roman" w:hAnsi="Times New Roman" w:cs="Times New Roman"/>
          <w:sz w:val="28"/>
          <w:szCs w:val="28"/>
        </w:rPr>
      </w:pPr>
      <w:r w:rsidRPr="005209BB">
        <w:rPr>
          <w:rFonts w:ascii="Times New Roman" w:hAnsi="Times New Roman" w:cs="Times New Roman"/>
          <w:sz w:val="28"/>
          <w:szCs w:val="28"/>
        </w:rPr>
        <w:t>Згідно з аналізом життєвого циклу (LCA), хоча CapEx для систем енергосимбіозу вищий на 10–15% за рахунок встановлення теплообмінників та вузлів керування, окупність досягається через 7–10 років завдяки двом факторам:</w:t>
      </w:r>
    </w:p>
    <w:p w14:paraId="1E8DFE90" w14:textId="77777777" w:rsidR="00BD1AA2" w:rsidRDefault="005209BB" w:rsidP="00BD1AA2">
      <w:pPr>
        <w:pStyle w:val="a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00AB65F5" w:rsidRPr="005209BB">
        <w:rPr>
          <w:rFonts w:ascii="Times New Roman" w:hAnsi="Times New Roman" w:cs="Times New Roman"/>
          <w:sz w:val="28"/>
          <w:szCs w:val="28"/>
        </w:rPr>
        <w:t>Зниження витрат на охолодження: Ефективна рекуперація дозволяє ЦОД працювати при вищих температурах теплоносія, що зменшує навантаження на систему кондиціонування.</w:t>
      </w:r>
    </w:p>
    <w:p w14:paraId="7C1AF8FA" w14:textId="05761847" w:rsidR="00AB65F5" w:rsidRPr="005209BB" w:rsidRDefault="005209BB" w:rsidP="00BD1AA2">
      <w:pPr>
        <w:pStyle w:val="a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00AB65F5" w:rsidRPr="005209BB">
        <w:rPr>
          <w:rFonts w:ascii="Times New Roman" w:hAnsi="Times New Roman" w:cs="Times New Roman"/>
          <w:sz w:val="28"/>
          <w:szCs w:val="28"/>
        </w:rPr>
        <w:t>Монетизація тепла: Продаж енергії міським споживачам або економія на власних витратах на опалення кампусу.</w:t>
      </w:r>
    </w:p>
    <w:p w14:paraId="1E733C64" w14:textId="0BD012E4" w:rsidR="00050137" w:rsidRDefault="00050137" w:rsidP="00FB1C0A">
      <w:pPr>
        <w:pStyle w:val="af"/>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042A6BDF" w14:textId="77777777" w:rsidR="00FD6DB6" w:rsidRDefault="00FD6DB6" w:rsidP="00FD6DB6">
      <w:pPr>
        <w:spacing w:after="0" w:line="360" w:lineRule="auto"/>
        <w:contextualSpacing/>
        <w:jc w:val="center"/>
        <w:rPr>
          <w:rFonts w:ascii="Times New Roman" w:hAnsi="Times New Roman" w:cs="Times New Roman"/>
          <w:b/>
          <w:bCs/>
          <w:sz w:val="28"/>
          <w:szCs w:val="28"/>
        </w:rPr>
      </w:pPr>
      <w:r w:rsidRPr="00B72944">
        <w:rPr>
          <w:rFonts w:ascii="Times New Roman" w:hAnsi="Times New Roman" w:cs="Times New Roman"/>
          <w:b/>
          <w:bCs/>
          <w:sz w:val="28"/>
          <w:szCs w:val="28"/>
        </w:rPr>
        <w:lastRenderedPageBreak/>
        <w:t>ВИСНОВКИ</w:t>
      </w:r>
    </w:p>
    <w:p w14:paraId="4B542CB2" w14:textId="62C93D6E"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У результаті проведеного комплексного наукового дослідження, теоретичного узагальнення та практичного розв’язання актуальної науково-прикладної проблеми, що полягає в геоекологічному моделюванні енергетичного симбіозу центрів обробки даних (ЦОД) та міських територій на основі алгоритмів просторової оптимізації, було сформувано низку висновків, які відображають логіку та зміст отриманих результатів.</w:t>
      </w:r>
    </w:p>
    <w:p w14:paraId="77438AAB" w14:textId="7777EDBE"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Першочергово, у межах системного аналізу теоретико-методичних засад функціонування обчислювальної інфраструктури в навколишньому середовищі, було детально простежено історичну еволюцію дата-центрів. Встановлено, що їхній розвиток пройшов складний шлях від повністю автономних, фізично ізольованих архітектурних об'єктів епохи мейнфреймів, антропогенний вплив яких обмежувався локальними потребами кондиціонування повітря, до сучасних крайових (Edge Computing) та гіпермасштабних масивів. На сучасному етапі зазначені об'єкти виступають уже не просто пасивними споживачами, а активними та невід'ємними вузлами міської інфраструктури, що безпосередньо інтегруються в урбанізоване середовище. Така просторова динаміка супроводжується радикальним загостренням термодинамічних суперечностей, оскільки наближення обчислювальних потужностей до кінцевого користувача зумовлює посилення їхньої безпосередньої конкуренції з міським населенням за життєво важливі ресурси, зокрема за електроенергію та воду, перетворюючи цифрову інфраструктуру на деструктивний чинник міського метаболізму.</w:t>
      </w:r>
    </w:p>
    <w:p w14:paraId="752BB270" w14:textId="47E0339D"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 xml:space="preserve">У ході дослідження було розкрито глибинну екологічну деструктивність домінуючої концепції «Take-Make-Waste», яка лежить в основі функціонування сучасної лінійної економіки цифрового сектору. Концептуальний аналіз життєвого циклу інфраструктури ЦОД виявив суттєвий когнітивний дисонанс між поширеним суспільним уявленням про «дематеріалізований» та ефірний характер хмарних обчислень і суворою фізичною реальністю. Доведено, що цифрова економіка функціонує на виключно матеріальному субстраті, а кожна транзакція, обробка або зберігання надлишкових масивів інформації (так званих </w:t>
      </w:r>
      <w:r w:rsidRPr="00FD6DB6">
        <w:rPr>
          <w:rFonts w:ascii="Times New Roman" w:hAnsi="Times New Roman" w:cs="Times New Roman"/>
          <w:sz w:val="28"/>
          <w:szCs w:val="28"/>
        </w:rPr>
        <w:lastRenderedPageBreak/>
        <w:t>«темних даних» або феномену «цифрового ожиріння») незворотно конвертується у вивільнення колосальної кількості ентропії у вигляді низькопотенційного тепла. Понад те, стратегії корпоративного планування, спрямовані на мінімізацію ризиків через створення штучної надлишковості потужностей, призводять до того, що середня утилізація серверів перебуває на критично низькому рівні, тоді як решта енергії витрачається на підтримання режиму очікування, фактично спрямовуючи більшу частину планетарних ресурсів у порожнечу.</w:t>
      </w:r>
    </w:p>
    <w:p w14:paraId="28695751" w14:textId="619BD3CB"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Особливу увагу в роботі приділено критичному переосмисленню загальноприйнятих галузевих показників енергоефективності, зокрема коефіцієнта PUE (Power Usage Effectiveness). Науково обґрунтовано, що використання цієї метрики як єдиного індикатора екологічності є методологічною маніпуляцією та інструментальним нігілізмом, оскільки PUE відображає лише математичне відношення спожитої енергії і повністю ігнорує абсолютні показники екологічної деградації. Більше того, підвищення енергоефективності інфраструктури призводить до легітимізації ефекту Джевонса (парадоксу продуктивності), коли здешевлення вартості обчислень провокує експоненційне зростання сумарного попиту на енергію та масштабування навантажень. Для подолання цього бар'єра доведено необхідність негайного впровадження інтегральних показників, таких як WUE (ефективність водоспоживання) та CUE (ефективність вуглецевого сліду), які дозволяють врахувати не лише експлуатаційні витрати, а й «вуглецевий слід» виробництва обладнання та масштаби вилучення природних ресурсів.</w:t>
      </w:r>
    </w:p>
    <w:p w14:paraId="6C47962A" w14:textId="02473C03"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 xml:space="preserve">У результаті дослідження геоекологічних наслідків та ризиків функціонування ЦОД було детально проаналізовано феномен міських «островів тепла». Відповідно до другого закону термодинаміки, практично 100% електричної енергії, що споживається ІТ-обладнанням, перетворюється на низькопотенційне скидне тепло, яке через випарні вежі та чилери евакуюється в атмосферу міста. Це призводить до виникнення замкненої кліматичної петлі зворотного зв’язку, коли антропогенний нагрів підвищує температуру </w:t>
      </w:r>
      <w:r w:rsidRPr="00FD6DB6">
        <w:rPr>
          <w:rFonts w:ascii="Times New Roman" w:hAnsi="Times New Roman" w:cs="Times New Roman"/>
          <w:sz w:val="28"/>
          <w:szCs w:val="28"/>
        </w:rPr>
        <w:lastRenderedPageBreak/>
        <w:t>навколишнього середовища, що, своєю чергою, знижує коефіцієнт продуктивності холодильних машин і змушує системи охолодження споживати ще більше енергії. Цей процес підсилюється радикальною трансформацією земної поверхні під час будівництва великих об'єктів ЦОД, де заміна природного покриву на штучні матеріали з низьким показником альбедо перетворює інфраструктурні масиви на довготривалі акумулятори тепла, що пролонгують термічний дискомфорт міського середовища навіть у нічний час.</w:t>
      </w:r>
    </w:p>
    <w:p w14:paraId="1158BE00" w14:textId="07267D99"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Крім прямого термічного впливу, у роботі було ідентифіковано та класифіковано складний комплекс супутніх факторів фізичного та хімічного забруднення, що формують кумулятивний екологічний стрес для міських екосистем. Доведено, що експлуатація синтетичних холодоагентів призводить до виникнення прихованих хімічних шлейфів сполук класу PFAS («вічних хімікатів»), які характеризуються тривалим періодом напіврозпаду в ґрунтах та високим потенціалом глобального потепління. Робота потужних вентиляційних систем та компресорних установок виступає джерелом постійного низькочастотного акустичного шуму та мікровібрацій, які передаються через фундаменти в ґрунтовий горизонт, викликаючи явище вібраційної втоми матеріалів прилеглих будівель, ущільнення ґрунту та деградацію ґрунтової фауни. У поєднанні з інтенсивним техногенним електромагнітним фоном силових підстанцій та аеродинамічною агресією монолітних споруд, що блокують вентиляційні коридори міст, формуються зони «техногенного виключення», де природні механізми самовідновлення біоти повністю блокуються.</w:t>
      </w:r>
    </w:p>
    <w:p w14:paraId="147DB97B" w14:textId="091FFF64"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 xml:space="preserve">На основі детального дослідження ресурсного дефіциту було визначено структуру впливу дата-центрів на гідрологічні та енергетичні мережі міста. Установлено, що перехід індустрії до випарних систем охолодження з метою штучного зниження показника PUE призвів до заміщення енергетичного навантаження гідрологічним. Масштабне вилучення прісної води формує глибокі депресійні лійки у підземних водоносних горизонтах, що викликає критичне зниження рівня ґрунтових вод, підриває дебіт локальних річок та </w:t>
      </w:r>
      <w:r w:rsidRPr="00FD6DB6">
        <w:rPr>
          <w:rFonts w:ascii="Times New Roman" w:hAnsi="Times New Roman" w:cs="Times New Roman"/>
          <w:sz w:val="28"/>
          <w:szCs w:val="28"/>
        </w:rPr>
        <w:lastRenderedPageBreak/>
        <w:t>провокує висихання кореневих систем рослинності. З іншого боку, повернення використаної води (blowdown water), насиченої концентрованими біоцидами, антикорозійними реагентами та інгібіторами накипу, завдає гідрологічним об'єктам подвійного удару — термічного шоку через підвищену температуру скиду, що спричиняє гіпоксію та евтрофікацію водойм, та тривалого токсикологічного ризику для водної біоти. В енергетичній сфері зафіксовано явище «енергетичного протекціонізму», коли жорсткі корпоративні угоди про рівень обслуговування (SLA) надають ЦОД статус привілейованих споживачів, витісняючи соціальну інфраструктуру міста в умови енергетичного дефіциту під час пікових навантажень.</w:t>
      </w:r>
    </w:p>
    <w:p w14:paraId="36414EFE" w14:textId="1AF2765F"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Практична частина дослідження, що базується на геоінформаційному аналізі просторового розміщення ЦОД у місті Києві, дозволила перейти від фіксації локальних точкових об'єктів до розуміння їх як системної мережі. За допомогою інструментарію геоінформаційних систем (QGIS) було створено векторний шар діючих обчислювальних вузлів столиці, який виявив чітку просторову кластеризацію переважно в межах колишніх промислових зон, таких як Подільсько-Куренівський промисловий вузол та окремі ділянки Солом’янського району. Для оптимізації капітальних витрат (CapEx) на прокладання інженерних комунікацій та мінімізації втрат ексергії було застосовано алгоритм створення зон просторової фільтрації (буферизації) з критичним радіусом 1000 метрів. З метою усунення просторової невідповідності та конфлікту інтересів щодо потенційних споживачів тепла, у роботі вперше було використано математичний апарат побудови полігонів Вороного. Це дозволило чітко розмежувати «зони відповідальності» кожного дата-центру та автоматизувати процес закріплення об'єктів соціальної інфраструктури за конкретними генеруючими вузлами, сформувавши просторовий базис для розрахунку майбутнього теплового балансу міста.</w:t>
      </w:r>
    </w:p>
    <w:p w14:paraId="02803FAB" w14:textId="189E1B16"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 xml:space="preserve">У межах розробки технологічних рекомендацій щодо мінімізації антропогенного впливу було доведено, що ефективність термічної рекуперації прямо залежить від фізико-хімічних характеристик контурів охолодження. </w:t>
      </w:r>
      <w:r w:rsidR="00500DBF">
        <w:rPr>
          <w:rFonts w:ascii="Times New Roman" w:hAnsi="Times New Roman" w:cs="Times New Roman"/>
          <w:sz w:val="28"/>
          <w:szCs w:val="28"/>
        </w:rPr>
        <w:t xml:space="preserve">     </w:t>
      </w:r>
      <w:r w:rsidR="00682992">
        <w:rPr>
          <w:rFonts w:ascii="Times New Roman" w:hAnsi="Times New Roman" w:cs="Times New Roman"/>
          <w:sz w:val="28"/>
          <w:szCs w:val="28"/>
        </w:rPr>
        <w:t xml:space="preserve"> </w:t>
      </w:r>
      <w:r w:rsidRPr="00FD6DB6">
        <w:rPr>
          <w:rFonts w:ascii="Times New Roman" w:hAnsi="Times New Roman" w:cs="Times New Roman"/>
          <w:sz w:val="28"/>
          <w:szCs w:val="28"/>
        </w:rPr>
        <w:lastRenderedPageBreak/>
        <w:t>Порівняльний аналіз підтвердив, що традиційні повітряні контури діють як теплові дифузори, які марнують енергетичний потенціал через низьку питому теплоємність повітря та низьку температуру скиду. Науково обґрунтовано, що реалізація концепції «цифрового гомеостазу» вимагає безальтернативного переходу до рідинних архітектур охолодження (Direct-to-Chip або Immersion Cooling), які завдяки високій об’ємній теплоємності води дозволяють піднімати температуру вихідного потоку рідини до вищих показників (50–65°C і більше). Така висока якість енергії перетворює скидне тепло на повноцінний товарний ресурс, придатний для прямої інтеграції в міські системи централізованого опалення (District Heating) або для використання в цілорічних агро-споживачах (тепличні комплекси) без застосування додаткових енергоємних теплових насосів, що суттєво знижує термін окупності проєктів енергосимбіозу.</w:t>
      </w:r>
    </w:p>
    <w:p w14:paraId="0D172AFD" w14:textId="2A1CD01D"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t xml:space="preserve">Для забезпечення інфраструктурної стабільності урбанізованих територій у роботі обґрунтовано доцільність впровадження режиму «динамічного навантаження» (Dynamic Load Orchestration), що передбачає трансформацію дата-центрів у інтерактивні елементи мережі (Grid-Interactive Data Centers). Застосування програмно-керованих алгоритмів для часового зміщення нечутливих до часу обчислювальних завдань на нічний період дозволяє здійснювати зрізання піків навантаження міських розподільчих мереж, а алгоритми географічної міграції завдань запобігають роботі систем охолодження на граничних режимах в умовах локального перегріву територій. </w:t>
      </w:r>
      <w:r w:rsidR="00682992">
        <w:rPr>
          <w:rFonts w:ascii="Times New Roman" w:hAnsi="Times New Roman" w:cs="Times New Roman"/>
          <w:sz w:val="28"/>
          <w:szCs w:val="28"/>
        </w:rPr>
        <w:t xml:space="preserve"> </w:t>
      </w:r>
      <w:r w:rsidRPr="00FD6DB6">
        <w:rPr>
          <w:rFonts w:ascii="Times New Roman" w:hAnsi="Times New Roman" w:cs="Times New Roman"/>
          <w:sz w:val="28"/>
          <w:szCs w:val="28"/>
        </w:rPr>
        <w:t>З метою стандартизації зазначених вимог запропоновано здійснити перехід від ретроспективного контролю до проактивного управління містом на основі створення «цифрових двійників» ЦОД та нормативного закріплення інтегрального індексу ESG-ЦОД. Фінальним етапом стандарту екологізації має стати примусова імплементація єдиного галузевого нормативу — Unitary Thermal Standard (UTS), який визначає обов’язковість утилізації скидного тепла як базову передумову для отримання дозволу на просторове розміщення обчислювальних об'єктів у межах урбанізованого ландшафту.</w:t>
      </w:r>
    </w:p>
    <w:p w14:paraId="4CD8D14D" w14:textId="023542BA" w:rsidR="00FD6DB6" w:rsidRPr="00FD6DB6" w:rsidRDefault="00FD6DB6" w:rsidP="00BD1AA2">
      <w:pPr>
        <w:pStyle w:val="af"/>
        <w:spacing w:line="360" w:lineRule="auto"/>
        <w:ind w:firstLine="708"/>
        <w:jc w:val="both"/>
        <w:rPr>
          <w:rFonts w:ascii="Times New Roman" w:hAnsi="Times New Roman" w:cs="Times New Roman"/>
          <w:sz w:val="28"/>
          <w:szCs w:val="28"/>
        </w:rPr>
      </w:pPr>
      <w:r w:rsidRPr="00FD6DB6">
        <w:rPr>
          <w:rFonts w:ascii="Times New Roman" w:hAnsi="Times New Roman" w:cs="Times New Roman"/>
          <w:sz w:val="28"/>
          <w:szCs w:val="28"/>
        </w:rPr>
        <w:lastRenderedPageBreak/>
        <w:t xml:space="preserve">Підсумовуючи результати дослідження, слід зазначити, що подолання системної екологічної кризи, викликаної стрімкою цифровізацією, неможливе шляхом локальної оптимізації алгоритмів або поверхового покращення ізольованих інженерних параметрів інфраструктури. Сучасні центри обробки даних повинні остаточно втратити статус автономних «цифрових цитаделей» і бути жорстко інтегровані в загальний міський метаболізм. Впровадження запропонованих алгоритмів просторової оптимізації на основі полігонів Вороного та перехід на рідинні контури охолодження дозволяють збалансувати енергетичні та гідрологічні бюджети міст, трансформуючи руйнівну техногенну ентропію на стабільне джерело низькопотенційної енергії. </w:t>
      </w:r>
      <w:r w:rsidR="000605F0">
        <w:rPr>
          <w:rFonts w:ascii="Times New Roman" w:hAnsi="Times New Roman" w:cs="Times New Roman"/>
          <w:sz w:val="28"/>
          <w:szCs w:val="28"/>
        </w:rPr>
        <w:t>Отже</w:t>
      </w:r>
      <w:r w:rsidRPr="00FD6DB6">
        <w:rPr>
          <w:rFonts w:ascii="Times New Roman" w:hAnsi="Times New Roman" w:cs="Times New Roman"/>
          <w:sz w:val="28"/>
          <w:szCs w:val="28"/>
        </w:rPr>
        <w:t>, розроблені методичні підходи та практичні ГІС-моделі формують надійне підґрунтя для стратегічного екологічного планування та ревіталізації промислових зон міста Києва, забезпечуючи реальний перехід до сталого енергосимбіозу між цифровими потоками та життєдіяльністю урбанізованого середовища в умовах майбутніх кліматичних викликів.</w:t>
      </w:r>
    </w:p>
    <w:p w14:paraId="0BFB8619" w14:textId="77777777" w:rsidR="00FD6DB6" w:rsidRDefault="00FD6DB6" w:rsidP="00FD6DB6">
      <w:pPr>
        <w:spacing w:after="0" w:line="360" w:lineRule="auto"/>
        <w:contextualSpacing/>
        <w:jc w:val="center"/>
        <w:rPr>
          <w:rFonts w:ascii="Times New Roman" w:hAnsi="Times New Roman" w:cs="Times New Roman"/>
          <w:b/>
          <w:bCs/>
          <w:sz w:val="28"/>
          <w:szCs w:val="28"/>
        </w:rPr>
      </w:pPr>
    </w:p>
    <w:p w14:paraId="69B14F77" w14:textId="3BE3EE2F" w:rsidR="00F61515" w:rsidRPr="00F61515" w:rsidRDefault="00050137" w:rsidP="00FD6DB6">
      <w:pPr>
        <w:pStyle w:val="af"/>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487178CA" w14:textId="524286EF" w:rsidR="00050137" w:rsidRDefault="00050137" w:rsidP="00FB1C0A">
      <w:pPr>
        <w:pStyle w:val="af"/>
        <w:spacing w:line="360" w:lineRule="auto"/>
        <w:rPr>
          <w:rFonts w:ascii="Times New Roman" w:hAnsi="Times New Roman" w:cs="Times New Roman"/>
          <w:sz w:val="28"/>
          <w:szCs w:val="28"/>
        </w:rPr>
      </w:pPr>
    </w:p>
    <w:p w14:paraId="54F40198" w14:textId="77777777" w:rsidR="0051061A" w:rsidRPr="00527427" w:rsidRDefault="0051061A" w:rsidP="0051061A">
      <w:pPr>
        <w:pStyle w:val="af"/>
        <w:spacing w:line="360" w:lineRule="auto"/>
        <w:ind w:left="720"/>
        <w:jc w:val="center"/>
        <w:rPr>
          <w:rFonts w:ascii="Times New Roman" w:hAnsi="Times New Roman" w:cs="Times New Roman"/>
          <w:b/>
          <w:bCs/>
          <w:caps/>
          <w:sz w:val="28"/>
          <w:szCs w:val="28"/>
        </w:rPr>
      </w:pPr>
      <w:r w:rsidRPr="00527427">
        <w:rPr>
          <w:rFonts w:ascii="Times New Roman" w:hAnsi="Times New Roman" w:cs="Times New Roman"/>
          <w:b/>
          <w:bCs/>
          <w:caps/>
          <w:sz w:val="28"/>
          <w:szCs w:val="28"/>
        </w:rPr>
        <w:t>Список використаних джерел</w:t>
      </w:r>
    </w:p>
    <w:p w14:paraId="377E1C57" w14:textId="4D6AA3EC" w:rsidR="00034A40" w:rsidRDefault="00034A40"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034A40">
        <w:rPr>
          <w:rFonts w:ascii="Times New Roman" w:hAnsi="Times New Roman" w:cs="Times New Roman"/>
          <w:sz w:val="28"/>
          <w:szCs w:val="28"/>
        </w:rPr>
        <w:t xml:space="preserve"> Avgerinou M., Bertoldi P., Castellazzi L. Trends in Data Centre Energy Consumption under the European Code of Conduct for Data Centre Energy Efficiency. </w:t>
      </w:r>
      <w:r w:rsidRPr="00034A40">
        <w:rPr>
          <w:rFonts w:ascii="Times New Roman" w:hAnsi="Times New Roman" w:cs="Times New Roman"/>
          <w:i/>
          <w:iCs/>
          <w:sz w:val="28"/>
          <w:szCs w:val="28"/>
        </w:rPr>
        <w:t>Energies</w:t>
      </w:r>
      <w:r w:rsidRPr="00034A40">
        <w:rPr>
          <w:rFonts w:ascii="Times New Roman" w:hAnsi="Times New Roman" w:cs="Times New Roman"/>
          <w:sz w:val="28"/>
          <w:szCs w:val="28"/>
        </w:rPr>
        <w:t>. 2017. Vol. 10(10). P. 1470.</w:t>
      </w:r>
    </w:p>
    <w:p w14:paraId="7C121356" w14:textId="504D834E" w:rsidR="00034A40" w:rsidRDefault="00000000" w:rsidP="00BD1AA2">
      <w:pPr>
        <w:pStyle w:val="af"/>
        <w:spacing w:line="360" w:lineRule="auto"/>
        <w:ind w:firstLine="709"/>
        <w:jc w:val="both"/>
        <w:rPr>
          <w:rFonts w:ascii="Times New Roman" w:hAnsi="Times New Roman" w:cs="Times New Roman"/>
          <w:sz w:val="28"/>
          <w:szCs w:val="28"/>
        </w:rPr>
      </w:pPr>
      <w:hyperlink r:id="rId16" w:history="1">
        <w:r w:rsidR="00D433AB" w:rsidRPr="009B1D72">
          <w:rPr>
            <w:rStyle w:val="af5"/>
            <w:rFonts w:ascii="Times New Roman" w:hAnsi="Times New Roman" w:cs="Times New Roman"/>
            <w:sz w:val="28"/>
            <w:szCs w:val="28"/>
          </w:rPr>
          <w:t>https://publications.jrc.ec.europa.eu/repository/handle/JRC108354</w:t>
        </w:r>
      </w:hyperlink>
      <w:r w:rsidR="00FD52DA">
        <w:rPr>
          <w:rFonts w:ascii="Times New Roman" w:hAnsi="Times New Roman" w:cs="Times New Roman"/>
          <w:sz w:val="28"/>
          <w:szCs w:val="28"/>
        </w:rPr>
        <w:t xml:space="preserve"> </w:t>
      </w:r>
      <w:r w:rsidR="00FD52DA">
        <w:rPr>
          <w:rFonts w:ascii="Times New Roman" w:hAnsi="Times New Roman" w:cs="Times New Roman"/>
          <w:sz w:val="28"/>
          <w:szCs w:val="28"/>
        </w:rPr>
        <w:br/>
      </w:r>
      <w:r w:rsidR="00D433AB">
        <w:rPr>
          <w:rFonts w:ascii="Times New Roman" w:hAnsi="Times New Roman" w:cs="Times New Roman"/>
          <w:sz w:val="28"/>
          <w:szCs w:val="28"/>
        </w:rPr>
        <w:t>2.</w:t>
      </w:r>
      <w:r w:rsidR="00034A40" w:rsidRPr="00034A40">
        <w:rPr>
          <w:rFonts w:ascii="Times New Roman" w:hAnsi="Times New Roman" w:cs="Times New Roman"/>
          <w:sz w:val="28"/>
          <w:szCs w:val="28"/>
        </w:rPr>
        <w:t xml:space="preserve">  Capozzoli A., Primiceri G. Cooling systems in data centers: state of art and emerging technologies. </w:t>
      </w:r>
      <w:r w:rsidR="00034A40" w:rsidRPr="00034A40">
        <w:rPr>
          <w:rFonts w:ascii="Times New Roman" w:hAnsi="Times New Roman" w:cs="Times New Roman"/>
          <w:i/>
          <w:iCs/>
          <w:sz w:val="28"/>
          <w:szCs w:val="28"/>
        </w:rPr>
        <w:t>Energy Procedia</w:t>
      </w:r>
      <w:r w:rsidR="00034A40" w:rsidRPr="00034A40">
        <w:rPr>
          <w:rFonts w:ascii="Times New Roman" w:hAnsi="Times New Roman" w:cs="Times New Roman"/>
          <w:sz w:val="28"/>
          <w:szCs w:val="28"/>
        </w:rPr>
        <w:t>. 2015. Vol. 83. P. 484–493.</w:t>
      </w:r>
    </w:p>
    <w:p w14:paraId="5C7CD35C" w14:textId="48B327D9" w:rsidR="00034A40" w:rsidRDefault="00000000" w:rsidP="00BD1AA2">
      <w:pPr>
        <w:pStyle w:val="af"/>
        <w:spacing w:line="360" w:lineRule="auto"/>
        <w:ind w:firstLine="709"/>
        <w:jc w:val="both"/>
        <w:rPr>
          <w:rFonts w:ascii="Times New Roman" w:hAnsi="Times New Roman" w:cs="Times New Roman"/>
          <w:sz w:val="28"/>
          <w:szCs w:val="28"/>
        </w:rPr>
      </w:pPr>
      <w:hyperlink r:id="rId17" w:history="1">
        <w:r w:rsidR="00686FC0" w:rsidRPr="009B1D72">
          <w:rPr>
            <w:rStyle w:val="af5"/>
            <w:rFonts w:ascii="Times New Roman" w:hAnsi="Times New Roman" w:cs="Times New Roman"/>
            <w:sz w:val="28"/>
            <w:szCs w:val="28"/>
          </w:rPr>
          <w:t>https://www.sciencedirect.com/science/article/pii/S1876610215028337</w:t>
        </w:r>
      </w:hyperlink>
      <w:r w:rsidR="00686FC0">
        <w:rPr>
          <w:rFonts w:ascii="Times New Roman" w:hAnsi="Times New Roman" w:cs="Times New Roman"/>
          <w:sz w:val="28"/>
          <w:szCs w:val="28"/>
        </w:rPr>
        <w:br/>
      </w:r>
      <w:r w:rsidR="00D433AB">
        <w:rPr>
          <w:rFonts w:ascii="Times New Roman" w:hAnsi="Times New Roman" w:cs="Times New Roman"/>
          <w:sz w:val="28"/>
          <w:szCs w:val="28"/>
        </w:rPr>
        <w:t>3.</w:t>
      </w:r>
      <w:r w:rsidR="00034A40" w:rsidRPr="00034A40">
        <w:rPr>
          <w:rFonts w:ascii="Times New Roman" w:hAnsi="Times New Roman" w:cs="Times New Roman"/>
          <w:sz w:val="28"/>
          <w:szCs w:val="28"/>
        </w:rPr>
        <w:t xml:space="preserve"> Davies A., Smith R. Water usage effectiveness (WUE) as a critical metric for sustainable data center design. </w:t>
      </w:r>
      <w:r w:rsidR="00034A40" w:rsidRPr="00034A40">
        <w:rPr>
          <w:rFonts w:ascii="Times New Roman" w:hAnsi="Times New Roman" w:cs="Times New Roman"/>
          <w:i/>
          <w:iCs/>
          <w:sz w:val="28"/>
          <w:szCs w:val="28"/>
        </w:rPr>
        <w:t>Journal of Cleaner Production</w:t>
      </w:r>
      <w:r w:rsidR="00034A40" w:rsidRPr="00034A40">
        <w:rPr>
          <w:rFonts w:ascii="Times New Roman" w:hAnsi="Times New Roman" w:cs="Times New Roman"/>
          <w:sz w:val="28"/>
          <w:szCs w:val="28"/>
        </w:rPr>
        <w:t>. 2020. Vol. 253. P. 119854.</w:t>
      </w:r>
    </w:p>
    <w:p w14:paraId="2E5971BC" w14:textId="088B6E7C" w:rsidR="00EA0494" w:rsidRDefault="00000000" w:rsidP="00BD1AA2">
      <w:pPr>
        <w:pStyle w:val="af"/>
        <w:spacing w:line="360" w:lineRule="auto"/>
        <w:ind w:firstLine="709"/>
        <w:jc w:val="both"/>
        <w:rPr>
          <w:rFonts w:ascii="Times New Roman" w:hAnsi="Times New Roman" w:cs="Times New Roman"/>
          <w:sz w:val="28"/>
          <w:szCs w:val="28"/>
        </w:rPr>
      </w:pPr>
      <w:hyperlink r:id="rId18" w:history="1">
        <w:r w:rsidR="00EA0494" w:rsidRPr="009B1D72">
          <w:rPr>
            <w:rStyle w:val="af5"/>
            <w:rFonts w:ascii="Times New Roman" w:hAnsi="Times New Roman" w:cs="Times New Roman"/>
            <w:sz w:val="28"/>
            <w:szCs w:val="28"/>
          </w:rPr>
          <w:t>https://www.thegreengrid.org/system/files/store/WUE_v1.pdf</w:t>
        </w:r>
      </w:hyperlink>
    </w:p>
    <w:p w14:paraId="3BC559D9" w14:textId="2A4E8004" w:rsid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034A40" w:rsidRPr="00034A40">
        <w:rPr>
          <w:rFonts w:ascii="Times New Roman" w:hAnsi="Times New Roman" w:cs="Times New Roman"/>
          <w:sz w:val="28"/>
          <w:szCs w:val="28"/>
        </w:rPr>
        <w:t xml:space="preserve"> Dayarathna M., Wen Y., Fan R. Data Center Energy Consumption Modeling: A Survey. </w:t>
      </w:r>
      <w:r w:rsidR="00034A40" w:rsidRPr="00034A40">
        <w:rPr>
          <w:rFonts w:ascii="Times New Roman" w:hAnsi="Times New Roman" w:cs="Times New Roman"/>
          <w:i/>
          <w:iCs/>
          <w:sz w:val="28"/>
          <w:szCs w:val="28"/>
        </w:rPr>
        <w:t>IEEE Communications Surveys &amp; Tutorials</w:t>
      </w:r>
      <w:r w:rsidR="00034A40" w:rsidRPr="00034A40">
        <w:rPr>
          <w:rFonts w:ascii="Times New Roman" w:hAnsi="Times New Roman" w:cs="Times New Roman"/>
          <w:sz w:val="28"/>
          <w:szCs w:val="28"/>
        </w:rPr>
        <w:t>. 2016. Vol. 18(1). P. 732–794.</w:t>
      </w:r>
    </w:p>
    <w:p w14:paraId="45630049" w14:textId="29A07B76" w:rsidR="00953028" w:rsidRDefault="00000000" w:rsidP="00BD1AA2">
      <w:pPr>
        <w:pStyle w:val="af"/>
        <w:spacing w:line="360" w:lineRule="auto"/>
        <w:ind w:firstLine="709"/>
        <w:jc w:val="both"/>
        <w:rPr>
          <w:rFonts w:ascii="Times New Roman" w:hAnsi="Times New Roman" w:cs="Times New Roman"/>
          <w:sz w:val="28"/>
          <w:szCs w:val="28"/>
        </w:rPr>
      </w:pPr>
      <w:hyperlink r:id="rId19" w:history="1">
        <w:r w:rsidR="00953028" w:rsidRPr="009B1D72">
          <w:rPr>
            <w:rStyle w:val="af5"/>
            <w:rFonts w:ascii="Times New Roman" w:hAnsi="Times New Roman" w:cs="Times New Roman"/>
            <w:sz w:val="28"/>
            <w:szCs w:val="28"/>
          </w:rPr>
          <w:t>https://ieeexplore.ieee.org/document/7279063</w:t>
        </w:r>
      </w:hyperlink>
    </w:p>
    <w:p w14:paraId="1D14A31D" w14:textId="4227202D" w:rsidR="00034A40" w:rsidRP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034A40" w:rsidRPr="00034A40">
        <w:rPr>
          <w:rFonts w:ascii="Times New Roman" w:hAnsi="Times New Roman" w:cs="Times New Roman"/>
          <w:sz w:val="28"/>
          <w:szCs w:val="28"/>
        </w:rPr>
        <w:t xml:space="preserve"> Ebrahimi K., Jones G. F., Fleischer A. S. A review of data center cooling technology, operating conditions and the corresponding routing of environmental indicators. </w:t>
      </w:r>
      <w:r w:rsidR="00034A40" w:rsidRPr="00034A40">
        <w:rPr>
          <w:rFonts w:ascii="Times New Roman" w:hAnsi="Times New Roman" w:cs="Times New Roman"/>
          <w:i/>
          <w:iCs/>
          <w:sz w:val="28"/>
          <w:szCs w:val="28"/>
        </w:rPr>
        <w:t>Renewable and Sustainable Energy Reviews</w:t>
      </w:r>
      <w:r w:rsidR="00034A40" w:rsidRPr="00034A40">
        <w:rPr>
          <w:rFonts w:ascii="Times New Roman" w:hAnsi="Times New Roman" w:cs="Times New Roman"/>
          <w:sz w:val="28"/>
          <w:szCs w:val="28"/>
        </w:rPr>
        <w:t>. 2014. Vol. 31. P. 622–638.</w:t>
      </w:r>
    </w:p>
    <w:p w14:paraId="3BC25BBD" w14:textId="52A9980A" w:rsid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034A40" w:rsidRPr="00034A40">
        <w:rPr>
          <w:rFonts w:ascii="Times New Roman" w:hAnsi="Times New Roman" w:cs="Times New Roman"/>
          <w:sz w:val="28"/>
          <w:szCs w:val="28"/>
        </w:rPr>
        <w:t xml:space="preserve"> European Commission. Directive (EU) 2023/1791 on energy efficiency. </w:t>
      </w:r>
      <w:r w:rsidR="00034A40" w:rsidRPr="00034A40">
        <w:rPr>
          <w:rFonts w:ascii="Times New Roman" w:hAnsi="Times New Roman" w:cs="Times New Roman"/>
          <w:i/>
          <w:iCs/>
          <w:sz w:val="28"/>
          <w:szCs w:val="28"/>
        </w:rPr>
        <w:t>Official Journal of the European Union</w:t>
      </w:r>
      <w:r w:rsidR="00034A40" w:rsidRPr="00034A40">
        <w:rPr>
          <w:rFonts w:ascii="Times New Roman" w:hAnsi="Times New Roman" w:cs="Times New Roman"/>
          <w:sz w:val="28"/>
          <w:szCs w:val="28"/>
        </w:rPr>
        <w:t>. 2023. L 231. P. 1–111.</w:t>
      </w:r>
    </w:p>
    <w:p w14:paraId="391E40DB" w14:textId="2D72357D" w:rsidR="00F63A60" w:rsidRDefault="00000000" w:rsidP="00BD1AA2">
      <w:pPr>
        <w:pStyle w:val="af"/>
        <w:spacing w:line="360" w:lineRule="auto"/>
        <w:ind w:firstLine="709"/>
        <w:jc w:val="both"/>
        <w:rPr>
          <w:rFonts w:ascii="Times New Roman" w:hAnsi="Times New Roman" w:cs="Times New Roman"/>
          <w:sz w:val="28"/>
          <w:szCs w:val="28"/>
        </w:rPr>
      </w:pPr>
      <w:hyperlink r:id="rId20" w:history="1">
        <w:r w:rsidR="00F63A60" w:rsidRPr="009B1D72">
          <w:rPr>
            <w:rStyle w:val="af5"/>
            <w:rFonts w:ascii="Times New Roman" w:hAnsi="Times New Roman" w:cs="Times New Roman"/>
            <w:sz w:val="28"/>
            <w:szCs w:val="28"/>
          </w:rPr>
          <w:t>https://fpi.ec.europa.eu/index_en?gad_source=1&amp;gad_campaignid</w:t>
        </w:r>
      </w:hyperlink>
    </w:p>
    <w:p w14:paraId="2A463116" w14:textId="42407A0D" w:rsidR="00034A40" w:rsidRP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034A40" w:rsidRPr="00034A40">
        <w:rPr>
          <w:rFonts w:ascii="Times New Roman" w:hAnsi="Times New Roman" w:cs="Times New Roman"/>
          <w:sz w:val="28"/>
          <w:szCs w:val="28"/>
        </w:rPr>
        <w:t xml:space="preserve">  Forti V., Baldé C. P., Kuehr R., Bel G. The Global E-waste Monitor 2024: Quantities, flows, and the circular economy potential. Bonn/Geneva/Rotterdam: UNU/UNITAR/ITU/ISWA, 2024. 120 p.</w:t>
      </w:r>
    </w:p>
    <w:p w14:paraId="61D5E125" w14:textId="64D9BEE2" w:rsid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034A40" w:rsidRPr="00034A40">
        <w:rPr>
          <w:rFonts w:ascii="Times New Roman" w:hAnsi="Times New Roman" w:cs="Times New Roman"/>
          <w:sz w:val="28"/>
          <w:szCs w:val="28"/>
        </w:rPr>
        <w:t xml:space="preserve">  Garimella S. V. et al. Thermal challenges in next-generation electronic systems. </w:t>
      </w:r>
      <w:r w:rsidR="00034A40" w:rsidRPr="00034A40">
        <w:rPr>
          <w:rFonts w:ascii="Times New Roman" w:hAnsi="Times New Roman" w:cs="Times New Roman"/>
          <w:i/>
          <w:iCs/>
          <w:sz w:val="28"/>
          <w:szCs w:val="28"/>
        </w:rPr>
        <w:t>IEEE Transactions on Components, Packaging and Manufacturing Technology</w:t>
      </w:r>
      <w:r w:rsidR="00034A40" w:rsidRPr="00034A40">
        <w:rPr>
          <w:rFonts w:ascii="Times New Roman" w:hAnsi="Times New Roman" w:cs="Times New Roman"/>
          <w:sz w:val="28"/>
          <w:szCs w:val="28"/>
        </w:rPr>
        <w:t>. 2012. Vol. 3(8). P. 1191–1206.</w:t>
      </w:r>
    </w:p>
    <w:p w14:paraId="1026FB04" w14:textId="62BF383D" w:rsidR="0069130A" w:rsidRDefault="00000000" w:rsidP="00BD1AA2">
      <w:pPr>
        <w:pStyle w:val="af"/>
        <w:spacing w:line="360" w:lineRule="auto"/>
        <w:ind w:firstLine="709"/>
        <w:jc w:val="both"/>
        <w:rPr>
          <w:rFonts w:ascii="Times New Roman" w:hAnsi="Times New Roman" w:cs="Times New Roman"/>
          <w:sz w:val="28"/>
          <w:szCs w:val="28"/>
        </w:rPr>
      </w:pPr>
      <w:hyperlink r:id="rId21" w:history="1">
        <w:r w:rsidR="0069130A" w:rsidRPr="009B1D72">
          <w:rPr>
            <w:rStyle w:val="af5"/>
            <w:rFonts w:ascii="Times New Roman" w:hAnsi="Times New Roman" w:cs="Times New Roman"/>
            <w:sz w:val="28"/>
            <w:szCs w:val="28"/>
          </w:rPr>
          <w:t>https://ieeexplore.ieee.org/document/4675673</w:t>
        </w:r>
      </w:hyperlink>
    </w:p>
    <w:p w14:paraId="652B4592" w14:textId="49AA7DD2" w:rsidR="00034A40" w:rsidRP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9.</w:t>
      </w:r>
      <w:r w:rsidR="00034A40" w:rsidRPr="00034A40">
        <w:rPr>
          <w:rFonts w:ascii="Times New Roman" w:hAnsi="Times New Roman" w:cs="Times New Roman"/>
          <w:sz w:val="28"/>
          <w:szCs w:val="28"/>
        </w:rPr>
        <w:t xml:space="preserve">  Huang Y., Zhang K., Wang Z. Spatial modeling of urban heat islands induced by hyperscale data centers. </w:t>
      </w:r>
      <w:r w:rsidR="00034A40" w:rsidRPr="00034A40">
        <w:rPr>
          <w:rFonts w:ascii="Times New Roman" w:hAnsi="Times New Roman" w:cs="Times New Roman"/>
          <w:i/>
          <w:iCs/>
          <w:sz w:val="28"/>
          <w:szCs w:val="28"/>
        </w:rPr>
        <w:t>Sustainable Cities and Society</w:t>
      </w:r>
      <w:r w:rsidR="00034A40" w:rsidRPr="00034A40">
        <w:rPr>
          <w:rFonts w:ascii="Times New Roman" w:hAnsi="Times New Roman" w:cs="Times New Roman"/>
          <w:sz w:val="28"/>
          <w:szCs w:val="28"/>
        </w:rPr>
        <w:t>. 2023. Vol. 91. P. 104441.</w:t>
      </w:r>
    </w:p>
    <w:p w14:paraId="4818D8EA" w14:textId="0E28F34E" w:rsidR="00034A40" w:rsidRP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034A40" w:rsidRPr="00034A40">
        <w:rPr>
          <w:rFonts w:ascii="Times New Roman" w:hAnsi="Times New Roman" w:cs="Times New Roman"/>
          <w:sz w:val="28"/>
          <w:szCs w:val="28"/>
        </w:rPr>
        <w:t xml:space="preserve">  Hölttä T., et al. Evaluating the feasibility of hyperscale data centers for district heating. </w:t>
      </w:r>
      <w:r w:rsidR="00034A40" w:rsidRPr="00034A40">
        <w:rPr>
          <w:rFonts w:ascii="Times New Roman" w:hAnsi="Times New Roman" w:cs="Times New Roman"/>
          <w:i/>
          <w:iCs/>
          <w:sz w:val="28"/>
          <w:szCs w:val="28"/>
        </w:rPr>
        <w:t>Applied Thermal Engineering</w:t>
      </w:r>
      <w:r w:rsidR="00034A40" w:rsidRPr="00034A40">
        <w:rPr>
          <w:rFonts w:ascii="Times New Roman" w:hAnsi="Times New Roman" w:cs="Times New Roman"/>
          <w:sz w:val="28"/>
          <w:szCs w:val="28"/>
        </w:rPr>
        <w:t>. 2022. Vol. 211. P. 118432.</w:t>
      </w:r>
    </w:p>
    <w:p w14:paraId="7C4671E7" w14:textId="7B0BA442" w:rsidR="00034A40" w:rsidRPr="00034A40" w:rsidRDefault="00D433AB"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034A40" w:rsidRPr="00034A40">
        <w:rPr>
          <w:rFonts w:ascii="Times New Roman" w:hAnsi="Times New Roman" w:cs="Times New Roman"/>
          <w:sz w:val="28"/>
          <w:szCs w:val="28"/>
        </w:rPr>
        <w:t xml:space="preserve">  IEA (International Energy Agency). Electricity 2024: Analysis and forecast to 2026. Paris: IEA, 2024. 170 p.</w:t>
      </w:r>
    </w:p>
    <w:p w14:paraId="358CB683" w14:textId="77863B73"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00034A40" w:rsidRPr="00034A40">
        <w:rPr>
          <w:rFonts w:ascii="Times New Roman" w:hAnsi="Times New Roman" w:cs="Times New Roman"/>
          <w:sz w:val="28"/>
          <w:szCs w:val="28"/>
        </w:rPr>
        <w:t xml:space="preserve">  Jones N. How to stop data centres from gobbling up the world’s electricity. </w:t>
      </w:r>
      <w:r w:rsidR="00034A40" w:rsidRPr="00034A40">
        <w:rPr>
          <w:rFonts w:ascii="Times New Roman" w:hAnsi="Times New Roman" w:cs="Times New Roman"/>
          <w:i/>
          <w:iCs/>
          <w:sz w:val="28"/>
          <w:szCs w:val="28"/>
        </w:rPr>
        <w:t>Nature</w:t>
      </w:r>
      <w:r w:rsidR="00034A40" w:rsidRPr="00034A40">
        <w:rPr>
          <w:rFonts w:ascii="Times New Roman" w:hAnsi="Times New Roman" w:cs="Times New Roman"/>
          <w:sz w:val="28"/>
          <w:szCs w:val="28"/>
        </w:rPr>
        <w:t>. 2018. Vol. 561(7722). P. 163–166.</w:t>
      </w:r>
    </w:p>
    <w:p w14:paraId="434DBCB8" w14:textId="482D56AE" w:rsidR="00907AD5" w:rsidRDefault="00000000" w:rsidP="00BD1AA2">
      <w:pPr>
        <w:pStyle w:val="af"/>
        <w:spacing w:line="360" w:lineRule="auto"/>
        <w:ind w:firstLine="709"/>
        <w:jc w:val="both"/>
        <w:rPr>
          <w:rFonts w:ascii="Times New Roman" w:hAnsi="Times New Roman" w:cs="Times New Roman"/>
          <w:sz w:val="28"/>
          <w:szCs w:val="28"/>
        </w:rPr>
      </w:pPr>
      <w:hyperlink r:id="rId22" w:history="1">
        <w:r w:rsidR="00907AD5" w:rsidRPr="009B1D72">
          <w:rPr>
            <w:rStyle w:val="af5"/>
            <w:rFonts w:ascii="Times New Roman" w:hAnsi="Times New Roman" w:cs="Times New Roman"/>
            <w:sz w:val="28"/>
            <w:szCs w:val="28"/>
          </w:rPr>
          <w:t>https://www.nature.com/articles/d41586-018-06610-y</w:t>
        </w:r>
      </w:hyperlink>
    </w:p>
    <w:p w14:paraId="72428259" w14:textId="28A6C653"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13.</w:t>
      </w:r>
      <w:r w:rsidR="00034A40" w:rsidRPr="00034A40">
        <w:rPr>
          <w:rFonts w:ascii="Times New Roman" w:hAnsi="Times New Roman" w:cs="Times New Roman"/>
          <w:sz w:val="28"/>
          <w:szCs w:val="28"/>
        </w:rPr>
        <w:t xml:space="preserve">  Koronen C., Åhman M., Nilsson L. J. Data centres in future European energy systems—energy efficiency, integration and policy. </w:t>
      </w:r>
      <w:r w:rsidR="00034A40" w:rsidRPr="00034A40">
        <w:rPr>
          <w:rFonts w:ascii="Times New Roman" w:hAnsi="Times New Roman" w:cs="Times New Roman"/>
          <w:i/>
          <w:iCs/>
          <w:sz w:val="28"/>
          <w:szCs w:val="28"/>
        </w:rPr>
        <w:t>Energy Efficiency</w:t>
      </w:r>
      <w:r w:rsidR="00034A40" w:rsidRPr="00034A40">
        <w:rPr>
          <w:rFonts w:ascii="Times New Roman" w:hAnsi="Times New Roman" w:cs="Times New Roman"/>
          <w:sz w:val="28"/>
          <w:szCs w:val="28"/>
        </w:rPr>
        <w:t>. 2020. Vol. 13(1). P. 129–144.</w:t>
      </w:r>
    </w:p>
    <w:p w14:paraId="7C8F8A76" w14:textId="50A265DB"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14.</w:t>
      </w:r>
      <w:r w:rsidR="00034A40" w:rsidRPr="00034A40">
        <w:rPr>
          <w:rFonts w:ascii="Times New Roman" w:hAnsi="Times New Roman" w:cs="Times New Roman"/>
          <w:sz w:val="28"/>
          <w:szCs w:val="28"/>
        </w:rPr>
        <w:t xml:space="preserve">  Lu H., Zhang Z., Yang L. A review on waste heat recovery from data centers. </w:t>
      </w:r>
      <w:r w:rsidR="00034A40" w:rsidRPr="00034A40">
        <w:rPr>
          <w:rFonts w:ascii="Times New Roman" w:hAnsi="Times New Roman" w:cs="Times New Roman"/>
          <w:i/>
          <w:iCs/>
          <w:sz w:val="28"/>
          <w:szCs w:val="28"/>
        </w:rPr>
        <w:t>Applied Energy</w:t>
      </w:r>
      <w:r w:rsidR="00034A40" w:rsidRPr="00034A40">
        <w:rPr>
          <w:rFonts w:ascii="Times New Roman" w:hAnsi="Times New Roman" w:cs="Times New Roman"/>
          <w:sz w:val="28"/>
          <w:szCs w:val="28"/>
        </w:rPr>
        <w:t>. 2022. Vol. 323. P. 119574.</w:t>
      </w:r>
    </w:p>
    <w:p w14:paraId="4C767717" w14:textId="2474CE1E" w:rsidR="00B507DD" w:rsidRDefault="00000000" w:rsidP="00BD1AA2">
      <w:pPr>
        <w:pStyle w:val="af"/>
        <w:spacing w:line="360" w:lineRule="auto"/>
        <w:ind w:firstLine="709"/>
        <w:jc w:val="both"/>
        <w:rPr>
          <w:rFonts w:ascii="Times New Roman" w:hAnsi="Times New Roman" w:cs="Times New Roman"/>
          <w:sz w:val="28"/>
          <w:szCs w:val="28"/>
        </w:rPr>
      </w:pPr>
      <w:hyperlink r:id="rId23" w:history="1">
        <w:r w:rsidR="00B507DD" w:rsidRPr="009B1D72">
          <w:rPr>
            <w:rStyle w:val="af5"/>
            <w:rFonts w:ascii="Times New Roman" w:hAnsi="Times New Roman" w:cs="Times New Roman"/>
            <w:sz w:val="28"/>
            <w:szCs w:val="28"/>
          </w:rPr>
          <w:t>https://www.sciencedirect.com/journal/applied-energy</w:t>
        </w:r>
      </w:hyperlink>
    </w:p>
    <w:p w14:paraId="29BFD411" w14:textId="602B0448"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15.</w:t>
      </w:r>
      <w:r w:rsidR="00034A40" w:rsidRPr="00034A40">
        <w:rPr>
          <w:rFonts w:ascii="Times New Roman" w:hAnsi="Times New Roman" w:cs="Times New Roman"/>
          <w:sz w:val="28"/>
          <w:szCs w:val="28"/>
        </w:rPr>
        <w:t xml:space="preserve">  Mytton D. Data centre water consumption. </w:t>
      </w:r>
      <w:r w:rsidR="00034A40" w:rsidRPr="00034A40">
        <w:rPr>
          <w:rFonts w:ascii="Times New Roman" w:hAnsi="Times New Roman" w:cs="Times New Roman"/>
          <w:i/>
          <w:iCs/>
          <w:sz w:val="28"/>
          <w:szCs w:val="28"/>
        </w:rPr>
        <w:t>npj Clean Water</w:t>
      </w:r>
      <w:r w:rsidR="00034A40" w:rsidRPr="00034A40">
        <w:rPr>
          <w:rFonts w:ascii="Times New Roman" w:hAnsi="Times New Roman" w:cs="Times New Roman"/>
          <w:sz w:val="28"/>
          <w:szCs w:val="28"/>
        </w:rPr>
        <w:t>. 2021. Vol. 4(1). P. 1–6.</w:t>
      </w:r>
    </w:p>
    <w:p w14:paraId="142FB812" w14:textId="0C593C04" w:rsidR="004C560E" w:rsidRDefault="00000000" w:rsidP="00BD1AA2">
      <w:pPr>
        <w:pStyle w:val="af"/>
        <w:spacing w:line="360" w:lineRule="auto"/>
        <w:ind w:firstLine="709"/>
        <w:jc w:val="both"/>
        <w:rPr>
          <w:rFonts w:ascii="Times New Roman" w:hAnsi="Times New Roman" w:cs="Times New Roman"/>
          <w:sz w:val="28"/>
          <w:szCs w:val="28"/>
        </w:rPr>
      </w:pPr>
      <w:hyperlink r:id="rId24" w:history="1">
        <w:r w:rsidR="004C560E" w:rsidRPr="009B1D72">
          <w:rPr>
            <w:rStyle w:val="af5"/>
            <w:rFonts w:ascii="Times New Roman" w:hAnsi="Times New Roman" w:cs="Times New Roman"/>
            <w:sz w:val="28"/>
            <w:szCs w:val="28"/>
          </w:rPr>
          <w:t>https://www.nature.com/articles/s41545-021-00101-w</w:t>
        </w:r>
      </w:hyperlink>
    </w:p>
    <w:p w14:paraId="3F376C1D" w14:textId="2B7ED942"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16.</w:t>
      </w:r>
      <w:r w:rsidR="00034A40" w:rsidRPr="00034A40">
        <w:rPr>
          <w:rFonts w:ascii="Times New Roman" w:hAnsi="Times New Roman" w:cs="Times New Roman"/>
          <w:sz w:val="28"/>
          <w:szCs w:val="28"/>
        </w:rPr>
        <w:t xml:space="preserve">  Mytton D., Aslan O. A framework for sustainable AI data center design. </w:t>
      </w:r>
      <w:r w:rsidR="00034A40" w:rsidRPr="00034A40">
        <w:rPr>
          <w:rFonts w:ascii="Times New Roman" w:hAnsi="Times New Roman" w:cs="Times New Roman"/>
          <w:i/>
          <w:iCs/>
          <w:sz w:val="28"/>
          <w:szCs w:val="28"/>
        </w:rPr>
        <w:t>Nature Climate Change</w:t>
      </w:r>
      <w:r w:rsidR="00034A40" w:rsidRPr="00034A40">
        <w:rPr>
          <w:rFonts w:ascii="Times New Roman" w:hAnsi="Times New Roman" w:cs="Times New Roman"/>
          <w:sz w:val="28"/>
          <w:szCs w:val="28"/>
        </w:rPr>
        <w:t>. 2023. Vol. 13. P. 110–118.</w:t>
      </w:r>
    </w:p>
    <w:p w14:paraId="4C3B6981" w14:textId="769FCFEE"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17.</w:t>
      </w:r>
      <w:r w:rsidR="00034A40" w:rsidRPr="00034A40">
        <w:rPr>
          <w:rFonts w:ascii="Times New Roman" w:hAnsi="Times New Roman" w:cs="Times New Roman"/>
          <w:sz w:val="28"/>
          <w:szCs w:val="28"/>
        </w:rPr>
        <w:t xml:space="preserve">  Nadimuthu V. et al. Liquid cooling technologies for high-density data centers: A comprehensive review. </w:t>
      </w:r>
      <w:r w:rsidR="00034A40" w:rsidRPr="00034A40">
        <w:rPr>
          <w:rFonts w:ascii="Times New Roman" w:hAnsi="Times New Roman" w:cs="Times New Roman"/>
          <w:i/>
          <w:iCs/>
          <w:sz w:val="28"/>
          <w:szCs w:val="28"/>
        </w:rPr>
        <w:t>International Journal of Heat and Mass Transfer</w:t>
      </w:r>
      <w:r w:rsidR="00034A40" w:rsidRPr="00034A40">
        <w:rPr>
          <w:rFonts w:ascii="Times New Roman" w:hAnsi="Times New Roman" w:cs="Times New Roman"/>
          <w:sz w:val="28"/>
          <w:szCs w:val="28"/>
        </w:rPr>
        <w:t>. 2021. Vol. 175. P. 121345.</w:t>
      </w:r>
    </w:p>
    <w:p w14:paraId="1E4B52F5" w14:textId="3A93EDBD"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sidR="00034A40" w:rsidRPr="00034A40">
        <w:rPr>
          <w:rFonts w:ascii="Times New Roman" w:hAnsi="Times New Roman" w:cs="Times New Roman"/>
          <w:sz w:val="28"/>
          <w:szCs w:val="28"/>
        </w:rPr>
        <w:t xml:space="preserve">  Oró E., Depoorter V., Garcia A., Salom J. Energy efficiency and renewable energy integration in data centres. Strategies and modelling review. </w:t>
      </w:r>
      <w:r w:rsidR="00034A40" w:rsidRPr="00034A40">
        <w:rPr>
          <w:rFonts w:ascii="Times New Roman" w:hAnsi="Times New Roman" w:cs="Times New Roman"/>
          <w:i/>
          <w:iCs/>
          <w:sz w:val="28"/>
          <w:szCs w:val="28"/>
        </w:rPr>
        <w:t>Renewable and Sustainable Energy Reviews</w:t>
      </w:r>
      <w:r w:rsidR="00034A40" w:rsidRPr="00034A40">
        <w:rPr>
          <w:rFonts w:ascii="Times New Roman" w:hAnsi="Times New Roman" w:cs="Times New Roman"/>
          <w:sz w:val="28"/>
          <w:szCs w:val="28"/>
        </w:rPr>
        <w:t>. 2015. Vol. 42. P. 429–445.</w:t>
      </w:r>
    </w:p>
    <w:p w14:paraId="4ABA335B" w14:textId="317657E0"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19.</w:t>
      </w:r>
      <w:r w:rsidR="00034A40" w:rsidRPr="00034A40">
        <w:rPr>
          <w:rFonts w:ascii="Times New Roman" w:hAnsi="Times New Roman" w:cs="Times New Roman"/>
          <w:sz w:val="28"/>
          <w:szCs w:val="28"/>
        </w:rPr>
        <w:t xml:space="preserve">  Patterson D. et al. Carbon Emissions and Large Neural Network Training. </w:t>
      </w:r>
      <w:r w:rsidR="00034A40" w:rsidRPr="00034A40">
        <w:rPr>
          <w:rFonts w:ascii="Times New Roman" w:hAnsi="Times New Roman" w:cs="Times New Roman"/>
          <w:i/>
          <w:iCs/>
          <w:sz w:val="28"/>
          <w:szCs w:val="28"/>
        </w:rPr>
        <w:t>arXiv preprint arXiv:2104.10350</w:t>
      </w:r>
      <w:r w:rsidR="00034A40" w:rsidRPr="00034A40">
        <w:rPr>
          <w:rFonts w:ascii="Times New Roman" w:hAnsi="Times New Roman" w:cs="Times New Roman"/>
          <w:sz w:val="28"/>
          <w:szCs w:val="28"/>
        </w:rPr>
        <w:t>. 2021.</w:t>
      </w:r>
    </w:p>
    <w:p w14:paraId="484E09F1" w14:textId="1049A112" w:rsidR="001E3FD2" w:rsidRDefault="00000000" w:rsidP="00BD1AA2">
      <w:pPr>
        <w:pStyle w:val="af"/>
        <w:spacing w:line="360" w:lineRule="auto"/>
        <w:ind w:firstLine="709"/>
        <w:jc w:val="both"/>
        <w:rPr>
          <w:rFonts w:ascii="Times New Roman" w:hAnsi="Times New Roman" w:cs="Times New Roman"/>
          <w:sz w:val="28"/>
          <w:szCs w:val="28"/>
        </w:rPr>
      </w:pPr>
      <w:hyperlink r:id="rId25" w:history="1">
        <w:r w:rsidR="001E3FD2" w:rsidRPr="009B1D72">
          <w:rPr>
            <w:rStyle w:val="af5"/>
            <w:rFonts w:ascii="Times New Roman" w:hAnsi="Times New Roman" w:cs="Times New Roman"/>
            <w:sz w:val="28"/>
            <w:szCs w:val="28"/>
          </w:rPr>
          <w:t>https://arxiv.org/abs/2104.10350</w:t>
        </w:r>
      </w:hyperlink>
    </w:p>
    <w:p w14:paraId="6451064B" w14:textId="7436FB3A"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20.</w:t>
      </w:r>
      <w:r w:rsidR="00034A40" w:rsidRPr="00034A40">
        <w:rPr>
          <w:rFonts w:ascii="Times New Roman" w:hAnsi="Times New Roman" w:cs="Times New Roman"/>
          <w:sz w:val="28"/>
          <w:szCs w:val="28"/>
        </w:rPr>
        <w:t xml:space="preserve">  PBS NewsHour. Energy, water use and pollution of AI and data centers rival most countries. </w:t>
      </w:r>
      <w:r w:rsidR="00034A40" w:rsidRPr="00034A40">
        <w:rPr>
          <w:rFonts w:ascii="Times New Roman" w:hAnsi="Times New Roman" w:cs="Times New Roman"/>
          <w:i/>
          <w:iCs/>
          <w:sz w:val="28"/>
          <w:szCs w:val="28"/>
        </w:rPr>
        <w:t>PBS News</w:t>
      </w:r>
      <w:r w:rsidR="00034A40" w:rsidRPr="00034A40">
        <w:rPr>
          <w:rFonts w:ascii="Times New Roman" w:hAnsi="Times New Roman" w:cs="Times New Roman"/>
          <w:sz w:val="28"/>
          <w:szCs w:val="28"/>
        </w:rPr>
        <w:t xml:space="preserve">. 2024. URL: </w:t>
      </w:r>
      <w:hyperlink r:id="rId26" w:tgtFrame="_blank" w:history="1">
        <w:r w:rsidR="00034A40" w:rsidRPr="00034A40">
          <w:rPr>
            <w:rStyle w:val="af5"/>
            <w:rFonts w:ascii="Times New Roman" w:hAnsi="Times New Roman" w:cs="Times New Roman"/>
            <w:sz w:val="28"/>
            <w:szCs w:val="28"/>
          </w:rPr>
          <w:t>https://www.pbs.org/newshour/science/energy-water-use-and-pollution-of-ai-and-data-centers-rival-most-countries</w:t>
        </w:r>
      </w:hyperlink>
      <w:r w:rsidR="00034A40" w:rsidRPr="00034A40">
        <w:rPr>
          <w:rFonts w:ascii="Times New Roman" w:hAnsi="Times New Roman" w:cs="Times New Roman"/>
          <w:sz w:val="28"/>
          <w:szCs w:val="28"/>
        </w:rPr>
        <w:t xml:space="preserve"> (дата звернення: 14.06.2026).</w:t>
      </w:r>
    </w:p>
    <w:p w14:paraId="136B5C17" w14:textId="09B30515"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21.</w:t>
      </w:r>
      <w:r w:rsidR="00034A40" w:rsidRPr="00034A40">
        <w:rPr>
          <w:rFonts w:ascii="Times New Roman" w:hAnsi="Times New Roman" w:cs="Times New Roman"/>
          <w:sz w:val="28"/>
          <w:szCs w:val="28"/>
        </w:rPr>
        <w:t xml:space="preserve">  PBS Terra. We Saw What AI Data Centers Don't Want You to See. </w:t>
      </w:r>
      <w:r w:rsidR="00034A40" w:rsidRPr="00034A40">
        <w:rPr>
          <w:rFonts w:ascii="Times New Roman" w:hAnsi="Times New Roman" w:cs="Times New Roman"/>
          <w:i/>
          <w:iCs/>
          <w:sz w:val="28"/>
          <w:szCs w:val="28"/>
        </w:rPr>
        <w:t>YouTube</w:t>
      </w:r>
      <w:r w:rsidR="00034A40" w:rsidRPr="00034A40">
        <w:rPr>
          <w:rFonts w:ascii="Times New Roman" w:hAnsi="Times New Roman" w:cs="Times New Roman"/>
          <w:sz w:val="28"/>
          <w:szCs w:val="28"/>
        </w:rPr>
        <w:t xml:space="preserve">. 2024. URL: </w:t>
      </w:r>
      <w:hyperlink r:id="rId27" w:tgtFrame="_blank" w:history="1">
        <w:r w:rsidR="00034A40" w:rsidRPr="00034A40">
          <w:rPr>
            <w:rStyle w:val="af5"/>
            <w:rFonts w:ascii="Times New Roman" w:hAnsi="Times New Roman" w:cs="Times New Roman"/>
            <w:sz w:val="28"/>
            <w:szCs w:val="28"/>
          </w:rPr>
          <w:t>https://www.youtube.com/watch?v=5p426fSlYH4</w:t>
        </w:r>
      </w:hyperlink>
      <w:r w:rsidR="00034A40" w:rsidRPr="00034A40">
        <w:rPr>
          <w:rFonts w:ascii="Times New Roman" w:hAnsi="Times New Roman" w:cs="Times New Roman"/>
          <w:sz w:val="28"/>
          <w:szCs w:val="28"/>
        </w:rPr>
        <w:t xml:space="preserve"> (дата звернення: 14.06.2026).</w:t>
      </w:r>
    </w:p>
    <w:p w14:paraId="18B8A6F7" w14:textId="0157AE35"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22.</w:t>
      </w:r>
      <w:r w:rsidR="00034A40" w:rsidRPr="00034A40">
        <w:rPr>
          <w:rFonts w:ascii="Times New Roman" w:hAnsi="Times New Roman" w:cs="Times New Roman"/>
          <w:sz w:val="28"/>
          <w:szCs w:val="28"/>
        </w:rPr>
        <w:t xml:space="preserve">  Pärssinen M., Wahlroos M., Manner J., Syri S. Waste heat recovery from data centers: an economically and environmentally viable approach to district heating. </w:t>
      </w:r>
      <w:r w:rsidR="00034A40" w:rsidRPr="00034A40">
        <w:rPr>
          <w:rFonts w:ascii="Times New Roman" w:hAnsi="Times New Roman" w:cs="Times New Roman"/>
          <w:i/>
          <w:iCs/>
          <w:sz w:val="28"/>
          <w:szCs w:val="28"/>
        </w:rPr>
        <w:t>Energy Efficiency</w:t>
      </w:r>
      <w:r w:rsidR="00034A40" w:rsidRPr="00034A40">
        <w:rPr>
          <w:rFonts w:ascii="Times New Roman" w:hAnsi="Times New Roman" w:cs="Times New Roman"/>
          <w:sz w:val="28"/>
          <w:szCs w:val="28"/>
        </w:rPr>
        <w:t>. 2019. Vol. 12(6). P. 1719–1734.</w:t>
      </w:r>
    </w:p>
    <w:p w14:paraId="688D07FD" w14:textId="4087FACA" w:rsidR="008A4251" w:rsidRDefault="00000000" w:rsidP="00BD1AA2">
      <w:pPr>
        <w:pStyle w:val="af"/>
        <w:spacing w:line="360" w:lineRule="auto"/>
        <w:ind w:firstLine="709"/>
        <w:jc w:val="both"/>
        <w:rPr>
          <w:rFonts w:ascii="Times New Roman" w:hAnsi="Times New Roman" w:cs="Times New Roman"/>
          <w:sz w:val="28"/>
          <w:szCs w:val="28"/>
        </w:rPr>
      </w:pPr>
      <w:hyperlink r:id="rId28" w:history="1">
        <w:r w:rsidR="008A4251" w:rsidRPr="009B1D72">
          <w:rPr>
            <w:rStyle w:val="af5"/>
            <w:rFonts w:ascii="Times New Roman" w:hAnsi="Times New Roman" w:cs="Times New Roman"/>
            <w:sz w:val="28"/>
            <w:szCs w:val="28"/>
          </w:rPr>
          <w:t>https://www.researchgate.net/publication/382154473_Optimizing_Data_Center_Waste_Heat_Reuse_Case_Studies_and_Environmental_Implications</w:t>
        </w:r>
      </w:hyperlink>
    </w:p>
    <w:p w14:paraId="7EEA0594" w14:textId="0C48D2F4"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23.</w:t>
      </w:r>
      <w:r w:rsidR="00034A40" w:rsidRPr="00034A40">
        <w:rPr>
          <w:rFonts w:ascii="Times New Roman" w:hAnsi="Times New Roman" w:cs="Times New Roman"/>
          <w:sz w:val="28"/>
          <w:szCs w:val="28"/>
        </w:rPr>
        <w:t xml:space="preserve">  QGIS Development Team. QGIS Geographic Information System. Open Source Geospatial Foundation Project. 2025. URL: </w:t>
      </w:r>
      <w:hyperlink r:id="rId29" w:tgtFrame="_blank" w:history="1">
        <w:r w:rsidR="00034A40" w:rsidRPr="00034A40">
          <w:rPr>
            <w:rStyle w:val="af5"/>
            <w:rFonts w:ascii="Times New Roman" w:hAnsi="Times New Roman" w:cs="Times New Roman"/>
            <w:sz w:val="28"/>
            <w:szCs w:val="28"/>
          </w:rPr>
          <w:t>http://qgis.osgeo.org</w:t>
        </w:r>
      </w:hyperlink>
      <w:r w:rsidR="00034A40" w:rsidRPr="00034A40">
        <w:rPr>
          <w:rFonts w:ascii="Times New Roman" w:hAnsi="Times New Roman" w:cs="Times New Roman"/>
          <w:sz w:val="28"/>
          <w:szCs w:val="28"/>
        </w:rPr>
        <w:t xml:space="preserve"> (дата звернення: 05.06.2026).</w:t>
      </w:r>
    </w:p>
    <w:p w14:paraId="72E4F347" w14:textId="4329AE2B"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24.</w:t>
      </w:r>
      <w:r w:rsidR="00034A40" w:rsidRPr="00034A40">
        <w:rPr>
          <w:rFonts w:ascii="Times New Roman" w:hAnsi="Times New Roman" w:cs="Times New Roman"/>
          <w:sz w:val="28"/>
          <w:szCs w:val="28"/>
        </w:rPr>
        <w:t xml:space="preserve">  Rong H. et al. Spatial optimization of data center locations based on cooling load and waste heat recovery potential. </w:t>
      </w:r>
      <w:r w:rsidR="00034A40" w:rsidRPr="00034A40">
        <w:rPr>
          <w:rFonts w:ascii="Times New Roman" w:hAnsi="Times New Roman" w:cs="Times New Roman"/>
          <w:i/>
          <w:iCs/>
          <w:sz w:val="28"/>
          <w:szCs w:val="28"/>
        </w:rPr>
        <w:t>Applied Energy</w:t>
      </w:r>
      <w:r w:rsidR="00034A40" w:rsidRPr="00034A40">
        <w:rPr>
          <w:rFonts w:ascii="Times New Roman" w:hAnsi="Times New Roman" w:cs="Times New Roman"/>
          <w:sz w:val="28"/>
          <w:szCs w:val="28"/>
        </w:rPr>
        <w:t>. 2023. Vol. 331. P. 120421.</w:t>
      </w:r>
    </w:p>
    <w:p w14:paraId="5455D604" w14:textId="496F4F41"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25.</w:t>
      </w:r>
      <w:r w:rsidR="00034A40" w:rsidRPr="00034A40">
        <w:rPr>
          <w:rFonts w:ascii="Times New Roman" w:hAnsi="Times New Roman" w:cs="Times New Roman"/>
          <w:sz w:val="28"/>
          <w:szCs w:val="28"/>
        </w:rPr>
        <w:t xml:space="preserve">  Siddik M. A. B., Shehabi A., Marston L. The environmental footprint of data centers in the United States. </w:t>
      </w:r>
      <w:r w:rsidR="00034A40" w:rsidRPr="00034A40">
        <w:rPr>
          <w:rFonts w:ascii="Times New Roman" w:hAnsi="Times New Roman" w:cs="Times New Roman"/>
          <w:i/>
          <w:iCs/>
          <w:sz w:val="28"/>
          <w:szCs w:val="28"/>
        </w:rPr>
        <w:t>Environmental Research Letters</w:t>
      </w:r>
      <w:r w:rsidR="00034A40" w:rsidRPr="00034A40">
        <w:rPr>
          <w:rFonts w:ascii="Times New Roman" w:hAnsi="Times New Roman" w:cs="Times New Roman"/>
          <w:sz w:val="28"/>
          <w:szCs w:val="28"/>
        </w:rPr>
        <w:t>. 2021. Vol. 16(6). P. 064017.</w:t>
      </w:r>
    </w:p>
    <w:p w14:paraId="7C002E97" w14:textId="4D53ADE0"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26.</w:t>
      </w:r>
      <w:r w:rsidR="00034A40" w:rsidRPr="00034A40">
        <w:rPr>
          <w:rFonts w:ascii="Times New Roman" w:hAnsi="Times New Roman" w:cs="Times New Roman"/>
          <w:sz w:val="28"/>
          <w:szCs w:val="28"/>
        </w:rPr>
        <w:t xml:space="preserve">  Stockholm Data Parks. Recovering excess heat from data centers. 2025. URL: </w:t>
      </w:r>
      <w:hyperlink r:id="rId30" w:tgtFrame="_blank" w:history="1">
        <w:r w:rsidR="00034A40" w:rsidRPr="00034A40">
          <w:rPr>
            <w:rStyle w:val="af5"/>
            <w:rFonts w:ascii="Times New Roman" w:hAnsi="Times New Roman" w:cs="Times New Roman"/>
            <w:sz w:val="28"/>
            <w:szCs w:val="28"/>
          </w:rPr>
          <w:t>https://stockholmdataparks.com/</w:t>
        </w:r>
      </w:hyperlink>
      <w:r w:rsidR="00034A40" w:rsidRPr="00034A40">
        <w:rPr>
          <w:rFonts w:ascii="Times New Roman" w:hAnsi="Times New Roman" w:cs="Times New Roman"/>
          <w:sz w:val="28"/>
          <w:szCs w:val="28"/>
        </w:rPr>
        <w:t xml:space="preserve"> (дата звернення: 10.06.2026).</w:t>
      </w:r>
    </w:p>
    <w:p w14:paraId="2E086093" w14:textId="4F400D9D"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27.</w:t>
      </w:r>
      <w:r w:rsidR="00034A40" w:rsidRPr="00034A40">
        <w:rPr>
          <w:rFonts w:ascii="Times New Roman" w:hAnsi="Times New Roman" w:cs="Times New Roman"/>
          <w:sz w:val="28"/>
          <w:szCs w:val="28"/>
        </w:rPr>
        <w:t xml:space="preserve">  Strubell E., Ganesh A., McCallum A. Energy and Policy Considerations for Deep Learning in NLP. </w:t>
      </w:r>
      <w:r w:rsidR="00034A40" w:rsidRPr="00034A40">
        <w:rPr>
          <w:rFonts w:ascii="Times New Roman" w:hAnsi="Times New Roman" w:cs="Times New Roman"/>
          <w:i/>
          <w:iCs/>
          <w:sz w:val="28"/>
          <w:szCs w:val="28"/>
        </w:rPr>
        <w:t>Proceedings of the 57th Annual Meeting of the Association for Computational Linguistics</w:t>
      </w:r>
      <w:r w:rsidR="00034A40" w:rsidRPr="00034A40">
        <w:rPr>
          <w:rFonts w:ascii="Times New Roman" w:hAnsi="Times New Roman" w:cs="Times New Roman"/>
          <w:sz w:val="28"/>
          <w:szCs w:val="28"/>
        </w:rPr>
        <w:t>. 2019. P. 3645–3650.</w:t>
      </w:r>
    </w:p>
    <w:p w14:paraId="5FE9DC46" w14:textId="3F0C0586" w:rsidR="00284066" w:rsidRDefault="00000000" w:rsidP="00BD1AA2">
      <w:pPr>
        <w:pStyle w:val="af"/>
        <w:spacing w:line="360" w:lineRule="auto"/>
        <w:ind w:firstLine="709"/>
        <w:jc w:val="both"/>
        <w:rPr>
          <w:rFonts w:ascii="Times New Roman" w:hAnsi="Times New Roman" w:cs="Times New Roman"/>
          <w:sz w:val="28"/>
          <w:szCs w:val="28"/>
        </w:rPr>
      </w:pPr>
      <w:hyperlink r:id="rId31" w:history="1">
        <w:r w:rsidR="00284066" w:rsidRPr="009B1D72">
          <w:rPr>
            <w:rStyle w:val="af5"/>
            <w:rFonts w:ascii="Times New Roman" w:hAnsi="Times New Roman" w:cs="Times New Roman"/>
            <w:sz w:val="28"/>
            <w:szCs w:val="28"/>
          </w:rPr>
          <w:t>https://aclanthology.org/P19-1355/</w:t>
        </w:r>
      </w:hyperlink>
    </w:p>
    <w:p w14:paraId="126DBBDA" w14:textId="4305CC71"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28.</w:t>
      </w:r>
      <w:r w:rsidR="00034A40" w:rsidRPr="00034A40">
        <w:rPr>
          <w:rFonts w:ascii="Times New Roman" w:hAnsi="Times New Roman" w:cs="Times New Roman"/>
          <w:sz w:val="28"/>
          <w:szCs w:val="28"/>
        </w:rPr>
        <w:t xml:space="preserve">  The World Bank. Data’s carbon footprint - World Development Report 2021: Data for Better Lives. 2021. URL: </w:t>
      </w:r>
      <w:hyperlink r:id="rId32" w:tgtFrame="_blank" w:history="1">
        <w:r w:rsidR="00034A40" w:rsidRPr="00034A40">
          <w:rPr>
            <w:rStyle w:val="af5"/>
            <w:rFonts w:ascii="Times New Roman" w:hAnsi="Times New Roman" w:cs="Times New Roman"/>
            <w:sz w:val="28"/>
            <w:szCs w:val="28"/>
          </w:rPr>
          <w:t>https://wdr2021.worldbank.org/spotlights/datas-carbon-footprint/</w:t>
        </w:r>
      </w:hyperlink>
      <w:r w:rsidR="00034A40" w:rsidRPr="00034A40">
        <w:rPr>
          <w:rFonts w:ascii="Times New Roman" w:hAnsi="Times New Roman" w:cs="Times New Roman"/>
          <w:sz w:val="28"/>
          <w:szCs w:val="28"/>
        </w:rPr>
        <w:t xml:space="preserve"> (дата звернення: 12.06.2026).</w:t>
      </w:r>
    </w:p>
    <w:p w14:paraId="16CC4282" w14:textId="4B3BD9DD"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29.</w:t>
      </w:r>
      <w:r w:rsidR="00034A40" w:rsidRPr="00034A40">
        <w:rPr>
          <w:rFonts w:ascii="Times New Roman" w:hAnsi="Times New Roman" w:cs="Times New Roman"/>
          <w:sz w:val="28"/>
          <w:szCs w:val="28"/>
        </w:rPr>
        <w:t xml:space="preserve">  Uptime Institute. Global Data Center Survey 2023. Uptime Institute Intelligence, 2023. 42 p.</w:t>
      </w:r>
    </w:p>
    <w:p w14:paraId="575FF045" w14:textId="17944044" w:rsidR="006B6534" w:rsidRDefault="00000000" w:rsidP="00BD1AA2">
      <w:pPr>
        <w:pStyle w:val="af"/>
        <w:spacing w:line="360" w:lineRule="auto"/>
        <w:ind w:firstLine="709"/>
        <w:jc w:val="both"/>
        <w:rPr>
          <w:rFonts w:ascii="Times New Roman" w:hAnsi="Times New Roman" w:cs="Times New Roman"/>
          <w:sz w:val="28"/>
          <w:szCs w:val="28"/>
        </w:rPr>
      </w:pPr>
      <w:hyperlink r:id="rId33" w:history="1">
        <w:r w:rsidR="006B6534" w:rsidRPr="009B1D72">
          <w:rPr>
            <w:rStyle w:val="af5"/>
            <w:rFonts w:ascii="Times New Roman" w:hAnsi="Times New Roman" w:cs="Times New Roman"/>
            <w:sz w:val="28"/>
            <w:szCs w:val="28"/>
          </w:rPr>
          <w:t>https://living-future.eu/the-clouds-tangible-footprint-rethinking-regenerative-data-centres</w:t>
        </w:r>
      </w:hyperlink>
    </w:p>
    <w:p w14:paraId="3520446D" w14:textId="4D93DC0C"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30.</w:t>
      </w:r>
      <w:r w:rsidR="00034A40" w:rsidRPr="00034A40">
        <w:rPr>
          <w:rFonts w:ascii="Times New Roman" w:hAnsi="Times New Roman" w:cs="Times New Roman"/>
          <w:sz w:val="28"/>
          <w:szCs w:val="28"/>
        </w:rPr>
        <w:t xml:space="preserve">  Wahlroos M., Pärssinen M., Manner J., Syri S. Utilizing data center waste heat in district heating – Impacts on energy efficiency and prospects for low-temperature district heating networks. </w:t>
      </w:r>
      <w:r w:rsidR="00034A40" w:rsidRPr="00034A40">
        <w:rPr>
          <w:rFonts w:ascii="Times New Roman" w:hAnsi="Times New Roman" w:cs="Times New Roman"/>
          <w:i/>
          <w:iCs/>
          <w:sz w:val="28"/>
          <w:szCs w:val="28"/>
        </w:rPr>
        <w:t>Energy</w:t>
      </w:r>
      <w:r w:rsidR="00034A40" w:rsidRPr="00034A40">
        <w:rPr>
          <w:rFonts w:ascii="Times New Roman" w:hAnsi="Times New Roman" w:cs="Times New Roman"/>
          <w:sz w:val="28"/>
          <w:szCs w:val="28"/>
        </w:rPr>
        <w:t>. 2017. Vol. 140. P. 1228–1238.</w:t>
      </w:r>
    </w:p>
    <w:p w14:paraId="31EDE337" w14:textId="2598F103" w:rsid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31.</w:t>
      </w:r>
      <w:r w:rsidR="00034A40" w:rsidRPr="00034A40">
        <w:rPr>
          <w:rFonts w:ascii="Times New Roman" w:hAnsi="Times New Roman" w:cs="Times New Roman"/>
          <w:sz w:val="28"/>
          <w:szCs w:val="28"/>
        </w:rPr>
        <w:t xml:space="preserve">  Wahlroos M., Pärssinen M., Rinne S., Syri S., Manner J. Future views on waste heat utilization – Case of data centers in Northern Europe. </w:t>
      </w:r>
      <w:r w:rsidR="00034A40" w:rsidRPr="00034A40">
        <w:rPr>
          <w:rFonts w:ascii="Times New Roman" w:hAnsi="Times New Roman" w:cs="Times New Roman"/>
          <w:i/>
          <w:iCs/>
          <w:sz w:val="28"/>
          <w:szCs w:val="28"/>
        </w:rPr>
        <w:t>Renewable and Sustainable Energy Reviews</w:t>
      </w:r>
      <w:r w:rsidR="00034A40" w:rsidRPr="00034A40">
        <w:rPr>
          <w:rFonts w:ascii="Times New Roman" w:hAnsi="Times New Roman" w:cs="Times New Roman"/>
          <w:sz w:val="28"/>
          <w:szCs w:val="28"/>
        </w:rPr>
        <w:t>. 2018. Vol. 82. P. 1749–1764.</w:t>
      </w:r>
    </w:p>
    <w:p w14:paraId="0E3271C0" w14:textId="1C0C7884" w:rsidR="00034A40" w:rsidRDefault="00000000" w:rsidP="00BD1AA2">
      <w:pPr>
        <w:pStyle w:val="af"/>
        <w:spacing w:line="360" w:lineRule="auto"/>
        <w:ind w:firstLine="709"/>
        <w:jc w:val="both"/>
        <w:rPr>
          <w:rFonts w:ascii="Times New Roman" w:hAnsi="Times New Roman" w:cs="Times New Roman"/>
          <w:sz w:val="28"/>
          <w:szCs w:val="28"/>
        </w:rPr>
      </w:pPr>
      <w:hyperlink r:id="rId34" w:history="1">
        <w:r w:rsidR="00FD52DA" w:rsidRPr="009B1D72">
          <w:rPr>
            <w:rStyle w:val="af5"/>
            <w:rFonts w:ascii="Times New Roman" w:hAnsi="Times New Roman" w:cs="Times New Roman"/>
            <w:sz w:val="28"/>
            <w:szCs w:val="28"/>
          </w:rPr>
          <w:t>https://www.sciencedirect.com/science/article/pii/S1364032117314314</w:t>
        </w:r>
      </w:hyperlink>
      <w:r w:rsidR="00FD52DA">
        <w:rPr>
          <w:rFonts w:ascii="Times New Roman" w:hAnsi="Times New Roman" w:cs="Times New Roman"/>
          <w:sz w:val="28"/>
          <w:szCs w:val="28"/>
        </w:rPr>
        <w:br/>
      </w:r>
      <w:r w:rsidR="00FE4E1E">
        <w:rPr>
          <w:rFonts w:ascii="Times New Roman" w:hAnsi="Times New Roman" w:cs="Times New Roman"/>
          <w:sz w:val="28"/>
          <w:szCs w:val="28"/>
        </w:rPr>
        <w:t>32.</w:t>
      </w:r>
      <w:r w:rsidR="00034A40" w:rsidRPr="00034A40">
        <w:rPr>
          <w:rFonts w:ascii="Times New Roman" w:hAnsi="Times New Roman" w:cs="Times New Roman"/>
          <w:sz w:val="28"/>
          <w:szCs w:val="28"/>
        </w:rPr>
        <w:t xml:space="preserve">  Whitehead B., Andrews D., Shah A., Maidment G. Assessing the environmental impact of data centres part 1: Background, energy use and metrics. </w:t>
      </w:r>
      <w:r w:rsidR="00034A40" w:rsidRPr="00034A40">
        <w:rPr>
          <w:rFonts w:ascii="Times New Roman" w:hAnsi="Times New Roman" w:cs="Times New Roman"/>
          <w:i/>
          <w:iCs/>
          <w:sz w:val="28"/>
          <w:szCs w:val="28"/>
        </w:rPr>
        <w:t>Building and Environment</w:t>
      </w:r>
      <w:r w:rsidR="00034A40" w:rsidRPr="00034A40">
        <w:rPr>
          <w:rFonts w:ascii="Times New Roman" w:hAnsi="Times New Roman" w:cs="Times New Roman"/>
          <w:sz w:val="28"/>
          <w:szCs w:val="28"/>
        </w:rPr>
        <w:t>. 2014. Vol. 82. P. 151–159.</w:t>
      </w:r>
    </w:p>
    <w:p w14:paraId="364183CA" w14:textId="2699ABDD" w:rsidR="006751F1" w:rsidRDefault="00000000" w:rsidP="00BD1AA2">
      <w:pPr>
        <w:pStyle w:val="af"/>
        <w:spacing w:line="360" w:lineRule="auto"/>
        <w:ind w:firstLine="709"/>
        <w:jc w:val="both"/>
        <w:rPr>
          <w:rFonts w:ascii="Times New Roman" w:hAnsi="Times New Roman" w:cs="Times New Roman"/>
          <w:sz w:val="28"/>
          <w:szCs w:val="28"/>
        </w:rPr>
      </w:pPr>
      <w:hyperlink r:id="rId35" w:history="1">
        <w:r w:rsidR="006751F1" w:rsidRPr="009B1D72">
          <w:rPr>
            <w:rStyle w:val="af5"/>
            <w:rFonts w:ascii="Times New Roman" w:hAnsi="Times New Roman" w:cs="Times New Roman"/>
            <w:sz w:val="28"/>
            <w:szCs w:val="28"/>
          </w:rPr>
          <w:t>https://www.researchgate.net/publication/265296025_Assessing_the_environmental_impact_of_data_centres_part_1_Background_energy_use_and_metrics</w:t>
        </w:r>
      </w:hyperlink>
    </w:p>
    <w:p w14:paraId="40429224" w14:textId="7E852884" w:rsidR="00034A40" w:rsidRPr="00034A40" w:rsidRDefault="00FE4E1E" w:rsidP="00BD1AA2">
      <w:pPr>
        <w:pStyle w:val="a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33.</w:t>
      </w:r>
      <w:r w:rsidR="00034A40" w:rsidRPr="00034A40">
        <w:rPr>
          <w:rFonts w:ascii="Times New Roman" w:hAnsi="Times New Roman" w:cs="Times New Roman"/>
          <w:sz w:val="28"/>
          <w:szCs w:val="28"/>
        </w:rPr>
        <w:t xml:space="preserve">  World Resources Institute. Aqueduct Water Risk Atlas. 2025. URL: </w:t>
      </w:r>
      <w:hyperlink r:id="rId36" w:tgtFrame="_blank" w:history="1">
        <w:r w:rsidR="00034A40" w:rsidRPr="00034A40">
          <w:rPr>
            <w:rStyle w:val="af5"/>
            <w:rFonts w:ascii="Times New Roman" w:hAnsi="Times New Roman" w:cs="Times New Roman"/>
            <w:sz w:val="28"/>
            <w:szCs w:val="28"/>
          </w:rPr>
          <w:t>https://www.wri.org/aqueduct</w:t>
        </w:r>
      </w:hyperlink>
      <w:r w:rsidR="00034A40" w:rsidRPr="00034A40">
        <w:rPr>
          <w:rFonts w:ascii="Times New Roman" w:hAnsi="Times New Roman" w:cs="Times New Roman"/>
          <w:sz w:val="28"/>
          <w:szCs w:val="28"/>
        </w:rPr>
        <w:t xml:space="preserve"> (дата звернення: 10.06.2026).</w:t>
      </w:r>
    </w:p>
    <w:p w14:paraId="4FC021BB" w14:textId="77777777" w:rsidR="00AB65F5" w:rsidRPr="00B66B4C" w:rsidRDefault="00AB65F5" w:rsidP="00FB1C0A">
      <w:pPr>
        <w:pStyle w:val="af"/>
        <w:spacing w:line="360" w:lineRule="auto"/>
        <w:rPr>
          <w:rFonts w:ascii="Times New Roman" w:hAnsi="Times New Roman" w:cs="Times New Roman"/>
          <w:sz w:val="28"/>
          <w:szCs w:val="28"/>
        </w:rPr>
      </w:pPr>
    </w:p>
    <w:sectPr w:rsidR="00AB65F5" w:rsidRPr="00B66B4C">
      <w:footerReference w:type="default" r:id="rId3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681405" w14:textId="77777777" w:rsidR="00E3766A" w:rsidRDefault="00E3766A" w:rsidP="00965901">
      <w:pPr>
        <w:spacing w:after="0" w:line="240" w:lineRule="auto"/>
      </w:pPr>
      <w:r>
        <w:separator/>
      </w:r>
    </w:p>
  </w:endnote>
  <w:endnote w:type="continuationSeparator" w:id="0">
    <w:p w14:paraId="368AE742" w14:textId="77777777" w:rsidR="00E3766A" w:rsidRDefault="00E3766A" w:rsidP="009659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altName w:val="Arial"/>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0302539"/>
      <w:docPartObj>
        <w:docPartGallery w:val="Page Numbers (Bottom of Page)"/>
        <w:docPartUnique/>
      </w:docPartObj>
    </w:sdtPr>
    <w:sdtContent>
      <w:p w14:paraId="089B0CB8" w14:textId="2D22C7B8" w:rsidR="00E65390" w:rsidRDefault="00E65390">
        <w:pPr>
          <w:pStyle w:val="af3"/>
          <w:jc w:val="right"/>
        </w:pPr>
        <w:r>
          <w:fldChar w:fldCharType="begin"/>
        </w:r>
        <w:r>
          <w:instrText>PAGE   \* MERGEFORMAT</w:instrText>
        </w:r>
        <w:r>
          <w:fldChar w:fldCharType="separate"/>
        </w:r>
        <w:r>
          <w:t>2</w:t>
        </w:r>
        <w:r>
          <w:fldChar w:fldCharType="end"/>
        </w:r>
      </w:p>
    </w:sdtContent>
  </w:sdt>
  <w:p w14:paraId="6BF4F6CB" w14:textId="77777777" w:rsidR="00E65390" w:rsidRDefault="00E65390">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FD4D7" w14:textId="77777777" w:rsidR="00E3766A" w:rsidRDefault="00E3766A" w:rsidP="00965901">
      <w:pPr>
        <w:spacing w:after="0" w:line="240" w:lineRule="auto"/>
      </w:pPr>
      <w:r>
        <w:separator/>
      </w:r>
    </w:p>
  </w:footnote>
  <w:footnote w:type="continuationSeparator" w:id="0">
    <w:p w14:paraId="0376CE63" w14:textId="77777777" w:rsidR="00E3766A" w:rsidRDefault="00E3766A" w:rsidP="009659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B1A4C"/>
    <w:multiLevelType w:val="multilevel"/>
    <w:tmpl w:val="2834C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0955D03"/>
    <w:multiLevelType w:val="hybridMultilevel"/>
    <w:tmpl w:val="2D78B2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59A83F73"/>
    <w:multiLevelType w:val="multilevel"/>
    <w:tmpl w:val="B1F0D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65410996">
    <w:abstractNumId w:val="2"/>
  </w:num>
  <w:num w:numId="2" w16cid:durableId="1241138748">
    <w:abstractNumId w:val="0"/>
  </w:num>
  <w:num w:numId="3" w16cid:durableId="90252784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E3F"/>
    <w:rsid w:val="0000583E"/>
    <w:rsid w:val="0001017C"/>
    <w:rsid w:val="00014A43"/>
    <w:rsid w:val="0001688E"/>
    <w:rsid w:val="00023B27"/>
    <w:rsid w:val="00034A40"/>
    <w:rsid w:val="00036202"/>
    <w:rsid w:val="00047097"/>
    <w:rsid w:val="00050137"/>
    <w:rsid w:val="0005384F"/>
    <w:rsid w:val="000547F7"/>
    <w:rsid w:val="000557FD"/>
    <w:rsid w:val="000577B2"/>
    <w:rsid w:val="000605F0"/>
    <w:rsid w:val="00063AFD"/>
    <w:rsid w:val="000662EA"/>
    <w:rsid w:val="00066F62"/>
    <w:rsid w:val="00067443"/>
    <w:rsid w:val="00072F88"/>
    <w:rsid w:val="00080EC6"/>
    <w:rsid w:val="00085AF7"/>
    <w:rsid w:val="000925C7"/>
    <w:rsid w:val="00093A7F"/>
    <w:rsid w:val="000961A4"/>
    <w:rsid w:val="00097259"/>
    <w:rsid w:val="000A5B03"/>
    <w:rsid w:val="000A7CD4"/>
    <w:rsid w:val="000B27B4"/>
    <w:rsid w:val="000C03BF"/>
    <w:rsid w:val="000C63BD"/>
    <w:rsid w:val="000D29B8"/>
    <w:rsid w:val="000E29A9"/>
    <w:rsid w:val="000F5B11"/>
    <w:rsid w:val="00100B21"/>
    <w:rsid w:val="00107E42"/>
    <w:rsid w:val="00112078"/>
    <w:rsid w:val="00114A21"/>
    <w:rsid w:val="00121F0F"/>
    <w:rsid w:val="00122A03"/>
    <w:rsid w:val="001307F4"/>
    <w:rsid w:val="00134300"/>
    <w:rsid w:val="00134B0D"/>
    <w:rsid w:val="00137379"/>
    <w:rsid w:val="00137A12"/>
    <w:rsid w:val="00144ED9"/>
    <w:rsid w:val="00146180"/>
    <w:rsid w:val="00147606"/>
    <w:rsid w:val="00147825"/>
    <w:rsid w:val="00153F17"/>
    <w:rsid w:val="00156287"/>
    <w:rsid w:val="0016397C"/>
    <w:rsid w:val="00167C3A"/>
    <w:rsid w:val="001731CB"/>
    <w:rsid w:val="00174958"/>
    <w:rsid w:val="00185435"/>
    <w:rsid w:val="001A593C"/>
    <w:rsid w:val="001B1BB2"/>
    <w:rsid w:val="001C53DC"/>
    <w:rsid w:val="001C5FF5"/>
    <w:rsid w:val="001E22F8"/>
    <w:rsid w:val="001E3FD2"/>
    <w:rsid w:val="001E5575"/>
    <w:rsid w:val="001F2978"/>
    <w:rsid w:val="001F2C95"/>
    <w:rsid w:val="001F507E"/>
    <w:rsid w:val="00200696"/>
    <w:rsid w:val="00212AAE"/>
    <w:rsid w:val="002161F0"/>
    <w:rsid w:val="00232A6F"/>
    <w:rsid w:val="002425BB"/>
    <w:rsid w:val="002478A3"/>
    <w:rsid w:val="00267378"/>
    <w:rsid w:val="002719CD"/>
    <w:rsid w:val="002749BB"/>
    <w:rsid w:val="00277A4F"/>
    <w:rsid w:val="00282EBE"/>
    <w:rsid w:val="00284066"/>
    <w:rsid w:val="002846BA"/>
    <w:rsid w:val="00291D35"/>
    <w:rsid w:val="00292C0B"/>
    <w:rsid w:val="00293925"/>
    <w:rsid w:val="00295F05"/>
    <w:rsid w:val="002A31A9"/>
    <w:rsid w:val="002A3B31"/>
    <w:rsid w:val="002B5084"/>
    <w:rsid w:val="002B7040"/>
    <w:rsid w:val="002C11FC"/>
    <w:rsid w:val="002E411E"/>
    <w:rsid w:val="002E61FD"/>
    <w:rsid w:val="002E6C2C"/>
    <w:rsid w:val="002F46D0"/>
    <w:rsid w:val="002F54A4"/>
    <w:rsid w:val="00310C93"/>
    <w:rsid w:val="00320124"/>
    <w:rsid w:val="00320221"/>
    <w:rsid w:val="0032026C"/>
    <w:rsid w:val="00321258"/>
    <w:rsid w:val="00321683"/>
    <w:rsid w:val="00324667"/>
    <w:rsid w:val="00367737"/>
    <w:rsid w:val="003907D6"/>
    <w:rsid w:val="00394E76"/>
    <w:rsid w:val="00395D73"/>
    <w:rsid w:val="003A02EC"/>
    <w:rsid w:val="003A2279"/>
    <w:rsid w:val="003B68EF"/>
    <w:rsid w:val="003B7A9A"/>
    <w:rsid w:val="003C095D"/>
    <w:rsid w:val="003C32E4"/>
    <w:rsid w:val="003C5F29"/>
    <w:rsid w:val="003D0FAB"/>
    <w:rsid w:val="003D2183"/>
    <w:rsid w:val="003D3757"/>
    <w:rsid w:val="003D5DCE"/>
    <w:rsid w:val="003D6011"/>
    <w:rsid w:val="003E165E"/>
    <w:rsid w:val="003E5DC2"/>
    <w:rsid w:val="003F01F0"/>
    <w:rsid w:val="003F2A37"/>
    <w:rsid w:val="003F3442"/>
    <w:rsid w:val="003F49E5"/>
    <w:rsid w:val="004000BC"/>
    <w:rsid w:val="00401BCF"/>
    <w:rsid w:val="004118C3"/>
    <w:rsid w:val="004145BB"/>
    <w:rsid w:val="00421511"/>
    <w:rsid w:val="00424EED"/>
    <w:rsid w:val="00436419"/>
    <w:rsid w:val="00443ABA"/>
    <w:rsid w:val="00460775"/>
    <w:rsid w:val="00461EFF"/>
    <w:rsid w:val="0046375C"/>
    <w:rsid w:val="00465D92"/>
    <w:rsid w:val="00481D50"/>
    <w:rsid w:val="00485A05"/>
    <w:rsid w:val="00487B52"/>
    <w:rsid w:val="004977F8"/>
    <w:rsid w:val="004A4E5B"/>
    <w:rsid w:val="004A6246"/>
    <w:rsid w:val="004A7B9B"/>
    <w:rsid w:val="004B20AF"/>
    <w:rsid w:val="004B272C"/>
    <w:rsid w:val="004C1C4E"/>
    <w:rsid w:val="004C560E"/>
    <w:rsid w:val="004F12A9"/>
    <w:rsid w:val="004F28E2"/>
    <w:rsid w:val="00500DBF"/>
    <w:rsid w:val="0050430F"/>
    <w:rsid w:val="00506EE0"/>
    <w:rsid w:val="0051061A"/>
    <w:rsid w:val="005115ED"/>
    <w:rsid w:val="005209BB"/>
    <w:rsid w:val="00526D95"/>
    <w:rsid w:val="005411F8"/>
    <w:rsid w:val="005550E0"/>
    <w:rsid w:val="00560EE1"/>
    <w:rsid w:val="00566116"/>
    <w:rsid w:val="005737C8"/>
    <w:rsid w:val="00577779"/>
    <w:rsid w:val="00580775"/>
    <w:rsid w:val="00596644"/>
    <w:rsid w:val="005A3F66"/>
    <w:rsid w:val="005A65C7"/>
    <w:rsid w:val="005A7D2E"/>
    <w:rsid w:val="005B3379"/>
    <w:rsid w:val="005C2871"/>
    <w:rsid w:val="005C4771"/>
    <w:rsid w:val="005C5C57"/>
    <w:rsid w:val="005C6A63"/>
    <w:rsid w:val="005C7E6D"/>
    <w:rsid w:val="005D0156"/>
    <w:rsid w:val="005D2748"/>
    <w:rsid w:val="005E6DD3"/>
    <w:rsid w:val="005E7019"/>
    <w:rsid w:val="00600DC9"/>
    <w:rsid w:val="0060259E"/>
    <w:rsid w:val="006036FD"/>
    <w:rsid w:val="006038CE"/>
    <w:rsid w:val="00603D5B"/>
    <w:rsid w:val="0060560B"/>
    <w:rsid w:val="00605894"/>
    <w:rsid w:val="006102DF"/>
    <w:rsid w:val="00614D79"/>
    <w:rsid w:val="00614DC7"/>
    <w:rsid w:val="0063175D"/>
    <w:rsid w:val="00635498"/>
    <w:rsid w:val="00635995"/>
    <w:rsid w:val="00650B65"/>
    <w:rsid w:val="00655D9F"/>
    <w:rsid w:val="006623E2"/>
    <w:rsid w:val="00672F79"/>
    <w:rsid w:val="00673071"/>
    <w:rsid w:val="00673D56"/>
    <w:rsid w:val="006751F1"/>
    <w:rsid w:val="0068151A"/>
    <w:rsid w:val="00682934"/>
    <w:rsid w:val="00682992"/>
    <w:rsid w:val="00683092"/>
    <w:rsid w:val="00686FC0"/>
    <w:rsid w:val="00687781"/>
    <w:rsid w:val="0069130A"/>
    <w:rsid w:val="006952B4"/>
    <w:rsid w:val="006A6BA3"/>
    <w:rsid w:val="006A7D73"/>
    <w:rsid w:val="006B3598"/>
    <w:rsid w:val="006B6534"/>
    <w:rsid w:val="006C0FCD"/>
    <w:rsid w:val="006D0AED"/>
    <w:rsid w:val="006D0FA9"/>
    <w:rsid w:val="006D5670"/>
    <w:rsid w:val="006D69E3"/>
    <w:rsid w:val="006E3574"/>
    <w:rsid w:val="006E77D9"/>
    <w:rsid w:val="007036CF"/>
    <w:rsid w:val="00716E3F"/>
    <w:rsid w:val="00720683"/>
    <w:rsid w:val="00721886"/>
    <w:rsid w:val="00722620"/>
    <w:rsid w:val="00740C8E"/>
    <w:rsid w:val="00747EBD"/>
    <w:rsid w:val="0075166D"/>
    <w:rsid w:val="0076161E"/>
    <w:rsid w:val="00763281"/>
    <w:rsid w:val="007723B8"/>
    <w:rsid w:val="00775E8C"/>
    <w:rsid w:val="0078283C"/>
    <w:rsid w:val="00791E25"/>
    <w:rsid w:val="00794A71"/>
    <w:rsid w:val="00796939"/>
    <w:rsid w:val="007A4560"/>
    <w:rsid w:val="007B6BB7"/>
    <w:rsid w:val="007C6DD1"/>
    <w:rsid w:val="007E738A"/>
    <w:rsid w:val="007F37E8"/>
    <w:rsid w:val="007F4AD4"/>
    <w:rsid w:val="008039D7"/>
    <w:rsid w:val="00805619"/>
    <w:rsid w:val="008116EA"/>
    <w:rsid w:val="008121F8"/>
    <w:rsid w:val="00812AF2"/>
    <w:rsid w:val="00812D5B"/>
    <w:rsid w:val="008138D1"/>
    <w:rsid w:val="008216CF"/>
    <w:rsid w:val="00842758"/>
    <w:rsid w:val="00842947"/>
    <w:rsid w:val="0084484D"/>
    <w:rsid w:val="00851EC7"/>
    <w:rsid w:val="00852DA4"/>
    <w:rsid w:val="00853689"/>
    <w:rsid w:val="0086145D"/>
    <w:rsid w:val="0086386D"/>
    <w:rsid w:val="00863EAB"/>
    <w:rsid w:val="00866C1D"/>
    <w:rsid w:val="00866D12"/>
    <w:rsid w:val="00867EB9"/>
    <w:rsid w:val="00873308"/>
    <w:rsid w:val="008770DF"/>
    <w:rsid w:val="008821B9"/>
    <w:rsid w:val="00882E9D"/>
    <w:rsid w:val="008834FE"/>
    <w:rsid w:val="00884929"/>
    <w:rsid w:val="00892911"/>
    <w:rsid w:val="00894E5F"/>
    <w:rsid w:val="00895B89"/>
    <w:rsid w:val="008A4251"/>
    <w:rsid w:val="008B0A89"/>
    <w:rsid w:val="008C1E84"/>
    <w:rsid w:val="008C2EE2"/>
    <w:rsid w:val="008C55AA"/>
    <w:rsid w:val="008D1C5E"/>
    <w:rsid w:val="008D57CC"/>
    <w:rsid w:val="008D7C49"/>
    <w:rsid w:val="008E2DFD"/>
    <w:rsid w:val="008E35AB"/>
    <w:rsid w:val="008E51C5"/>
    <w:rsid w:val="008F589E"/>
    <w:rsid w:val="008F6647"/>
    <w:rsid w:val="00900452"/>
    <w:rsid w:val="0090060C"/>
    <w:rsid w:val="009038B2"/>
    <w:rsid w:val="00907AD5"/>
    <w:rsid w:val="00907E7C"/>
    <w:rsid w:val="0091409C"/>
    <w:rsid w:val="00922668"/>
    <w:rsid w:val="00931C35"/>
    <w:rsid w:val="00943AA3"/>
    <w:rsid w:val="009457F6"/>
    <w:rsid w:val="0094677F"/>
    <w:rsid w:val="00951128"/>
    <w:rsid w:val="00953028"/>
    <w:rsid w:val="009531B6"/>
    <w:rsid w:val="009539F3"/>
    <w:rsid w:val="00955876"/>
    <w:rsid w:val="00965901"/>
    <w:rsid w:val="00981497"/>
    <w:rsid w:val="009A1DC2"/>
    <w:rsid w:val="009A2453"/>
    <w:rsid w:val="009A3E2A"/>
    <w:rsid w:val="009D4879"/>
    <w:rsid w:val="009D67DE"/>
    <w:rsid w:val="009E29C1"/>
    <w:rsid w:val="009F2ACB"/>
    <w:rsid w:val="009F2C85"/>
    <w:rsid w:val="00A04E8E"/>
    <w:rsid w:val="00A05373"/>
    <w:rsid w:val="00A10BBB"/>
    <w:rsid w:val="00A13A70"/>
    <w:rsid w:val="00A14B99"/>
    <w:rsid w:val="00A14D17"/>
    <w:rsid w:val="00A22339"/>
    <w:rsid w:val="00A23EAD"/>
    <w:rsid w:val="00A430D9"/>
    <w:rsid w:val="00A43F06"/>
    <w:rsid w:val="00A4550C"/>
    <w:rsid w:val="00A47B3B"/>
    <w:rsid w:val="00A56250"/>
    <w:rsid w:val="00A65315"/>
    <w:rsid w:val="00A66FCC"/>
    <w:rsid w:val="00A758B1"/>
    <w:rsid w:val="00A83E97"/>
    <w:rsid w:val="00A87CB1"/>
    <w:rsid w:val="00A87E99"/>
    <w:rsid w:val="00A95D7B"/>
    <w:rsid w:val="00A972C9"/>
    <w:rsid w:val="00AA3FC7"/>
    <w:rsid w:val="00AA56F8"/>
    <w:rsid w:val="00AA6FD8"/>
    <w:rsid w:val="00AB3D4D"/>
    <w:rsid w:val="00AB65F5"/>
    <w:rsid w:val="00AC7FE4"/>
    <w:rsid w:val="00AE131D"/>
    <w:rsid w:val="00AE63FF"/>
    <w:rsid w:val="00AF0D8C"/>
    <w:rsid w:val="00AF675D"/>
    <w:rsid w:val="00B217DC"/>
    <w:rsid w:val="00B22C3A"/>
    <w:rsid w:val="00B2459C"/>
    <w:rsid w:val="00B262D1"/>
    <w:rsid w:val="00B31A26"/>
    <w:rsid w:val="00B3207B"/>
    <w:rsid w:val="00B3602F"/>
    <w:rsid w:val="00B42372"/>
    <w:rsid w:val="00B43292"/>
    <w:rsid w:val="00B43497"/>
    <w:rsid w:val="00B441D0"/>
    <w:rsid w:val="00B507DD"/>
    <w:rsid w:val="00B511A8"/>
    <w:rsid w:val="00B516ED"/>
    <w:rsid w:val="00B51A2D"/>
    <w:rsid w:val="00B66B4C"/>
    <w:rsid w:val="00B70209"/>
    <w:rsid w:val="00B82331"/>
    <w:rsid w:val="00B82F47"/>
    <w:rsid w:val="00B91C69"/>
    <w:rsid w:val="00B97DF7"/>
    <w:rsid w:val="00BA13DF"/>
    <w:rsid w:val="00BA47BC"/>
    <w:rsid w:val="00BA665E"/>
    <w:rsid w:val="00BB15C8"/>
    <w:rsid w:val="00BB282D"/>
    <w:rsid w:val="00BB57C0"/>
    <w:rsid w:val="00BC0872"/>
    <w:rsid w:val="00BC1744"/>
    <w:rsid w:val="00BC5C5D"/>
    <w:rsid w:val="00BD0DE6"/>
    <w:rsid w:val="00BD1AA2"/>
    <w:rsid w:val="00BF73DC"/>
    <w:rsid w:val="00BF7A94"/>
    <w:rsid w:val="00C13CBC"/>
    <w:rsid w:val="00C23227"/>
    <w:rsid w:val="00C26EE1"/>
    <w:rsid w:val="00C27552"/>
    <w:rsid w:val="00C311BB"/>
    <w:rsid w:val="00C44521"/>
    <w:rsid w:val="00C44855"/>
    <w:rsid w:val="00C529E5"/>
    <w:rsid w:val="00C540B9"/>
    <w:rsid w:val="00C55476"/>
    <w:rsid w:val="00C67D14"/>
    <w:rsid w:val="00C702BE"/>
    <w:rsid w:val="00C734D0"/>
    <w:rsid w:val="00C8452F"/>
    <w:rsid w:val="00C905B5"/>
    <w:rsid w:val="00C97972"/>
    <w:rsid w:val="00CA5C2F"/>
    <w:rsid w:val="00CB2DE1"/>
    <w:rsid w:val="00CD1C74"/>
    <w:rsid w:val="00CD6732"/>
    <w:rsid w:val="00CE0580"/>
    <w:rsid w:val="00CE4FF5"/>
    <w:rsid w:val="00CF7986"/>
    <w:rsid w:val="00D009E1"/>
    <w:rsid w:val="00D079B1"/>
    <w:rsid w:val="00D201D0"/>
    <w:rsid w:val="00D22193"/>
    <w:rsid w:val="00D22A4A"/>
    <w:rsid w:val="00D31603"/>
    <w:rsid w:val="00D433AB"/>
    <w:rsid w:val="00D437ED"/>
    <w:rsid w:val="00D46E34"/>
    <w:rsid w:val="00D51779"/>
    <w:rsid w:val="00D5274E"/>
    <w:rsid w:val="00D536FF"/>
    <w:rsid w:val="00D53B60"/>
    <w:rsid w:val="00D570FB"/>
    <w:rsid w:val="00D66C3D"/>
    <w:rsid w:val="00D67868"/>
    <w:rsid w:val="00D712F1"/>
    <w:rsid w:val="00D7351E"/>
    <w:rsid w:val="00D91365"/>
    <w:rsid w:val="00DA0E12"/>
    <w:rsid w:val="00DA2422"/>
    <w:rsid w:val="00DA4335"/>
    <w:rsid w:val="00DA7746"/>
    <w:rsid w:val="00DB7F1F"/>
    <w:rsid w:val="00DC0608"/>
    <w:rsid w:val="00DC1BBA"/>
    <w:rsid w:val="00DD0993"/>
    <w:rsid w:val="00DD0ECE"/>
    <w:rsid w:val="00DD19F6"/>
    <w:rsid w:val="00DD29CD"/>
    <w:rsid w:val="00DD558B"/>
    <w:rsid w:val="00DD5A4C"/>
    <w:rsid w:val="00DE1CA8"/>
    <w:rsid w:val="00DE2A30"/>
    <w:rsid w:val="00DE2EB7"/>
    <w:rsid w:val="00DE2EF0"/>
    <w:rsid w:val="00DF2C0E"/>
    <w:rsid w:val="00DF77F5"/>
    <w:rsid w:val="00E00F96"/>
    <w:rsid w:val="00E03246"/>
    <w:rsid w:val="00E05D80"/>
    <w:rsid w:val="00E21996"/>
    <w:rsid w:val="00E3275E"/>
    <w:rsid w:val="00E3766A"/>
    <w:rsid w:val="00E3780C"/>
    <w:rsid w:val="00E460E2"/>
    <w:rsid w:val="00E53341"/>
    <w:rsid w:val="00E55AEF"/>
    <w:rsid w:val="00E65390"/>
    <w:rsid w:val="00E700D9"/>
    <w:rsid w:val="00E8109A"/>
    <w:rsid w:val="00E930CC"/>
    <w:rsid w:val="00E93852"/>
    <w:rsid w:val="00EA0494"/>
    <w:rsid w:val="00EA29F8"/>
    <w:rsid w:val="00EA6A9B"/>
    <w:rsid w:val="00EB02B7"/>
    <w:rsid w:val="00EB0FE1"/>
    <w:rsid w:val="00EB1F0D"/>
    <w:rsid w:val="00EB2F6D"/>
    <w:rsid w:val="00EB5D22"/>
    <w:rsid w:val="00EB7622"/>
    <w:rsid w:val="00EC42ED"/>
    <w:rsid w:val="00ED06FE"/>
    <w:rsid w:val="00ED2BB3"/>
    <w:rsid w:val="00ED2F87"/>
    <w:rsid w:val="00ED35EF"/>
    <w:rsid w:val="00ED5826"/>
    <w:rsid w:val="00ED5A39"/>
    <w:rsid w:val="00EE15A7"/>
    <w:rsid w:val="00EE6D27"/>
    <w:rsid w:val="00EF5C95"/>
    <w:rsid w:val="00EF7AEA"/>
    <w:rsid w:val="00F04F3C"/>
    <w:rsid w:val="00F132BC"/>
    <w:rsid w:val="00F271B0"/>
    <w:rsid w:val="00F33CF5"/>
    <w:rsid w:val="00F37BAD"/>
    <w:rsid w:val="00F54721"/>
    <w:rsid w:val="00F555B1"/>
    <w:rsid w:val="00F5620D"/>
    <w:rsid w:val="00F60F81"/>
    <w:rsid w:val="00F61515"/>
    <w:rsid w:val="00F63A60"/>
    <w:rsid w:val="00F71555"/>
    <w:rsid w:val="00F72F77"/>
    <w:rsid w:val="00F73D02"/>
    <w:rsid w:val="00F74961"/>
    <w:rsid w:val="00F84BF0"/>
    <w:rsid w:val="00F87E6A"/>
    <w:rsid w:val="00F90DAA"/>
    <w:rsid w:val="00F96A49"/>
    <w:rsid w:val="00FA2963"/>
    <w:rsid w:val="00FA4463"/>
    <w:rsid w:val="00FB17DB"/>
    <w:rsid w:val="00FB1C0A"/>
    <w:rsid w:val="00FC08C9"/>
    <w:rsid w:val="00FC6829"/>
    <w:rsid w:val="00FD1E31"/>
    <w:rsid w:val="00FD1F2C"/>
    <w:rsid w:val="00FD52DA"/>
    <w:rsid w:val="00FD6DB6"/>
    <w:rsid w:val="00FE1790"/>
    <w:rsid w:val="00FE4E1E"/>
    <w:rsid w:val="00FF4632"/>
    <w:rsid w:val="00FF4F96"/>
    <w:rsid w:val="00FF57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992907"/>
  <w15:chartTrackingRefBased/>
  <w15:docId w15:val="{7B2E4B84-2ECF-4F33-A1AF-A8BDF6E4C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16E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716E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716E3F"/>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16E3F"/>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16E3F"/>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16E3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16E3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16E3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16E3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16E3F"/>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716E3F"/>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716E3F"/>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16E3F"/>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16E3F"/>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16E3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16E3F"/>
    <w:rPr>
      <w:rFonts w:eastAsiaTheme="majorEastAsia" w:cstheme="majorBidi"/>
      <w:color w:val="595959" w:themeColor="text1" w:themeTint="A6"/>
    </w:rPr>
  </w:style>
  <w:style w:type="character" w:customStyle="1" w:styleId="80">
    <w:name w:val="Заголовок 8 Знак"/>
    <w:basedOn w:val="a0"/>
    <w:link w:val="8"/>
    <w:uiPriority w:val="9"/>
    <w:semiHidden/>
    <w:rsid w:val="00716E3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16E3F"/>
    <w:rPr>
      <w:rFonts w:eastAsiaTheme="majorEastAsia" w:cstheme="majorBidi"/>
      <w:color w:val="272727" w:themeColor="text1" w:themeTint="D8"/>
    </w:rPr>
  </w:style>
  <w:style w:type="paragraph" w:styleId="a3">
    <w:name w:val="Title"/>
    <w:basedOn w:val="a"/>
    <w:next w:val="a"/>
    <w:link w:val="a4"/>
    <w:uiPriority w:val="10"/>
    <w:qFormat/>
    <w:rsid w:val="00716E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716E3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16E3F"/>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716E3F"/>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716E3F"/>
    <w:pPr>
      <w:spacing w:before="160"/>
      <w:jc w:val="center"/>
    </w:pPr>
    <w:rPr>
      <w:i/>
      <w:iCs/>
      <w:color w:val="404040" w:themeColor="text1" w:themeTint="BF"/>
    </w:rPr>
  </w:style>
  <w:style w:type="character" w:customStyle="1" w:styleId="a8">
    <w:name w:val="Цитата Знак"/>
    <w:basedOn w:val="a0"/>
    <w:link w:val="a7"/>
    <w:uiPriority w:val="29"/>
    <w:rsid w:val="00716E3F"/>
    <w:rPr>
      <w:i/>
      <w:iCs/>
      <w:color w:val="404040" w:themeColor="text1" w:themeTint="BF"/>
    </w:rPr>
  </w:style>
  <w:style w:type="paragraph" w:styleId="a9">
    <w:name w:val="List Paragraph"/>
    <w:basedOn w:val="a"/>
    <w:uiPriority w:val="34"/>
    <w:qFormat/>
    <w:rsid w:val="00716E3F"/>
    <w:pPr>
      <w:ind w:left="720"/>
      <w:contextualSpacing/>
    </w:pPr>
  </w:style>
  <w:style w:type="character" w:styleId="aa">
    <w:name w:val="Intense Emphasis"/>
    <w:basedOn w:val="a0"/>
    <w:uiPriority w:val="21"/>
    <w:qFormat/>
    <w:rsid w:val="00716E3F"/>
    <w:rPr>
      <w:i/>
      <w:iCs/>
      <w:color w:val="0F4761" w:themeColor="accent1" w:themeShade="BF"/>
    </w:rPr>
  </w:style>
  <w:style w:type="paragraph" w:styleId="ab">
    <w:name w:val="Intense Quote"/>
    <w:basedOn w:val="a"/>
    <w:next w:val="a"/>
    <w:link w:val="ac"/>
    <w:uiPriority w:val="30"/>
    <w:qFormat/>
    <w:rsid w:val="00716E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716E3F"/>
    <w:rPr>
      <w:i/>
      <w:iCs/>
      <w:color w:val="0F4761" w:themeColor="accent1" w:themeShade="BF"/>
    </w:rPr>
  </w:style>
  <w:style w:type="character" w:styleId="ad">
    <w:name w:val="Intense Reference"/>
    <w:basedOn w:val="a0"/>
    <w:uiPriority w:val="32"/>
    <w:qFormat/>
    <w:rsid w:val="00716E3F"/>
    <w:rPr>
      <w:b/>
      <w:bCs/>
      <w:smallCaps/>
      <w:color w:val="0F4761" w:themeColor="accent1" w:themeShade="BF"/>
      <w:spacing w:val="5"/>
    </w:rPr>
  </w:style>
  <w:style w:type="paragraph" w:styleId="ae">
    <w:name w:val="Normal (Web)"/>
    <w:basedOn w:val="a"/>
    <w:uiPriority w:val="99"/>
    <w:unhideWhenUsed/>
    <w:rsid w:val="00747EBD"/>
    <w:rPr>
      <w:rFonts w:ascii="Times New Roman" w:hAnsi="Times New Roman" w:cs="Times New Roman"/>
    </w:rPr>
  </w:style>
  <w:style w:type="character" w:customStyle="1" w:styleId="citation-160">
    <w:name w:val="citation-160"/>
    <w:basedOn w:val="a0"/>
    <w:rsid w:val="00185435"/>
  </w:style>
  <w:style w:type="paragraph" w:styleId="af">
    <w:name w:val="No Spacing"/>
    <w:uiPriority w:val="1"/>
    <w:qFormat/>
    <w:rsid w:val="00185435"/>
    <w:pPr>
      <w:spacing w:after="0" w:line="240" w:lineRule="auto"/>
    </w:pPr>
    <w:rPr>
      <w:kern w:val="0"/>
      <w:sz w:val="22"/>
      <w:szCs w:val="22"/>
      <w14:ligatures w14:val="none"/>
    </w:rPr>
  </w:style>
  <w:style w:type="character" w:customStyle="1" w:styleId="citation-158">
    <w:name w:val="citation-158"/>
    <w:basedOn w:val="a0"/>
    <w:rsid w:val="00DD5A4C"/>
  </w:style>
  <w:style w:type="character" w:customStyle="1" w:styleId="citation-159">
    <w:name w:val="citation-159"/>
    <w:basedOn w:val="a0"/>
    <w:rsid w:val="00DD5A4C"/>
  </w:style>
  <w:style w:type="character" w:customStyle="1" w:styleId="citation-157">
    <w:name w:val="citation-157"/>
    <w:basedOn w:val="a0"/>
    <w:rsid w:val="00DD5A4C"/>
  </w:style>
  <w:style w:type="character" w:customStyle="1" w:styleId="citation-156">
    <w:name w:val="citation-156"/>
    <w:basedOn w:val="a0"/>
    <w:rsid w:val="00DD5A4C"/>
  </w:style>
  <w:style w:type="character" w:customStyle="1" w:styleId="citation-155">
    <w:name w:val="citation-155"/>
    <w:basedOn w:val="a0"/>
    <w:rsid w:val="00DD5A4C"/>
  </w:style>
  <w:style w:type="character" w:customStyle="1" w:styleId="citation-154">
    <w:name w:val="citation-154"/>
    <w:basedOn w:val="a0"/>
    <w:rsid w:val="00DD5A4C"/>
  </w:style>
  <w:style w:type="table" w:styleId="af0">
    <w:name w:val="Table Grid"/>
    <w:basedOn w:val="a1"/>
    <w:uiPriority w:val="59"/>
    <w:rsid w:val="00DD5A4C"/>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af2"/>
    <w:uiPriority w:val="99"/>
    <w:unhideWhenUsed/>
    <w:rsid w:val="00965901"/>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965901"/>
  </w:style>
  <w:style w:type="paragraph" w:styleId="af3">
    <w:name w:val="footer"/>
    <w:basedOn w:val="a"/>
    <w:link w:val="af4"/>
    <w:uiPriority w:val="99"/>
    <w:unhideWhenUsed/>
    <w:rsid w:val="00965901"/>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965901"/>
  </w:style>
  <w:style w:type="character" w:styleId="af5">
    <w:name w:val="Hyperlink"/>
    <w:basedOn w:val="a0"/>
    <w:uiPriority w:val="99"/>
    <w:unhideWhenUsed/>
    <w:rsid w:val="00034A40"/>
    <w:rPr>
      <w:color w:val="467886" w:themeColor="hyperlink"/>
      <w:u w:val="single"/>
    </w:rPr>
  </w:style>
  <w:style w:type="character" w:styleId="af6">
    <w:name w:val="Unresolved Mention"/>
    <w:basedOn w:val="a0"/>
    <w:uiPriority w:val="99"/>
    <w:semiHidden/>
    <w:unhideWhenUsed/>
    <w:rsid w:val="00034A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hyperlink" Target="https://www.thegreengrid.org/system/files/store/WUE_v1.pdf" TargetMode="External"/><Relationship Id="rId26" Type="http://schemas.openxmlformats.org/officeDocument/2006/relationships/hyperlink" Target="https://www.pbs.org/newshour/science/energy-water-use-and-pollution-of-ai-and-data-centers-rival-most-countries" TargetMode="External"/><Relationship Id="rId39" Type="http://schemas.openxmlformats.org/officeDocument/2006/relationships/theme" Target="theme/theme1.xml"/><Relationship Id="rId21" Type="http://schemas.openxmlformats.org/officeDocument/2006/relationships/hyperlink" Target="https://ieeexplore.ieee.org/document/4675673" TargetMode="External"/><Relationship Id="rId34" Type="http://schemas.openxmlformats.org/officeDocument/2006/relationships/hyperlink" Target="https://www.sciencedirect.com/science/article/pii/S1364032117314314"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s://www.sciencedirect.com/science/article/pii/S1876610215028337" TargetMode="External"/><Relationship Id="rId25" Type="http://schemas.openxmlformats.org/officeDocument/2006/relationships/hyperlink" Target="https://arxiv.org/abs/2104.10350" TargetMode="External"/><Relationship Id="rId33" Type="http://schemas.openxmlformats.org/officeDocument/2006/relationships/hyperlink" Target="https://living-future.eu/the-clouds-tangible-footprint-rethinking-regenerative-data-centres/?gad_source=1&amp;gad_campaignid=22220460190&amp;gbraid=0AAAAABNPYKlZ-msbhGism2AahrPE8m0L4&amp;gclid=Cj0KCQjwrs7RBhDuARIsAIVfBD3XK3fEV-PGJL_g1QGKFnUWmqSyxANO__atOHdUPNCoKu1XyrdxjTsaAoGPEALw_wcB"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ublications.jrc.ec.europa.eu/repository/handle/JRC108354" TargetMode="External"/><Relationship Id="rId20" Type="http://schemas.openxmlformats.org/officeDocument/2006/relationships/hyperlink" Target="https://fpi.ec.europa.eu/index_en?gad_source=1&amp;gad_campaignid=23905654786&amp;gbraid=0AAAABDuNH66RgZqxMEJkR7yspqVnxNitK&amp;gclid=Cj0KCQjwrs7RBhDuARIsAIVfBD1BFBonNlrPdQv06nilEEWOTqPueYiIII4Hk_Ca1uGzC7tgg78ZDtYaAlymEALw_wcB" TargetMode="External"/><Relationship Id="rId29" Type="http://schemas.openxmlformats.org/officeDocument/2006/relationships/hyperlink" Target="https://www.google.com/search?q=http://qgis.osgeo.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s://www.nature.com/articles/s41545-021-00101-w" TargetMode="External"/><Relationship Id="rId32" Type="http://schemas.openxmlformats.org/officeDocument/2006/relationships/hyperlink" Target="https://wdr2021.worldbank.org/spotlights/datas-carbon-footprint/"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s://www.sciencedirect.com/journal/applied-energy" TargetMode="External"/><Relationship Id="rId28" Type="http://schemas.openxmlformats.org/officeDocument/2006/relationships/hyperlink" Target="https://www.researchgate.net/publication/382154473_Optimizing_Data_Center_Waste_Heat_Reuse_Case_Studies_and_Environmental_Implications" TargetMode="External"/><Relationship Id="rId36" Type="http://schemas.openxmlformats.org/officeDocument/2006/relationships/hyperlink" Target="https://www.wri.org/aqueduct" TargetMode="External"/><Relationship Id="rId10" Type="http://schemas.openxmlformats.org/officeDocument/2006/relationships/image" Target="media/image3.jpg"/><Relationship Id="rId19" Type="http://schemas.openxmlformats.org/officeDocument/2006/relationships/hyperlink" Target="https://ieeexplore.ieee.org/document/7279063" TargetMode="External"/><Relationship Id="rId31" Type="http://schemas.openxmlformats.org/officeDocument/2006/relationships/hyperlink" Target="https://aclanthology.org/P19-1355/"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s://www.nature.com/articles/d41586-018-06610-y" TargetMode="External"/><Relationship Id="rId27" Type="http://schemas.openxmlformats.org/officeDocument/2006/relationships/hyperlink" Target="https://www.youtube.com/watch?v=5p426fSlYH4" TargetMode="External"/><Relationship Id="rId30" Type="http://schemas.openxmlformats.org/officeDocument/2006/relationships/hyperlink" Target="https://www.google.com/search?q=https://stockholmdataparks.com/" TargetMode="External"/><Relationship Id="rId35" Type="http://schemas.openxmlformats.org/officeDocument/2006/relationships/hyperlink" Target="https://www.researchgate.net/publication/265296025_Assessing_the_environmental_impact_of_data_centres_part_1_Background_energy_use_and_metrics"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2105C-231D-4E17-826F-F19E0DEB0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2011</TotalTime>
  <Pages>1</Pages>
  <Words>83095</Words>
  <Characters>47365</Characters>
  <Application>Microsoft Office Word</Application>
  <DocSecurity>0</DocSecurity>
  <Lines>394</Lines>
  <Paragraphs>260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130200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 shashenko</dc:creator>
  <cp:keywords/>
  <dc:description/>
  <cp:lastModifiedBy>Ярослав</cp:lastModifiedBy>
  <cp:revision>480</cp:revision>
  <dcterms:created xsi:type="dcterms:W3CDTF">2026-05-05T13:30:00Z</dcterms:created>
  <dcterms:modified xsi:type="dcterms:W3CDTF">2026-07-03T07:12:00Z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f0db667e-5dbd-4258-bf07-435621d313ac</vt:lpwstr>
  </property>
</Properties>
</file>