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DCA37" w14:textId="77777777" w:rsidR="004D658F" w:rsidRPr="006D710A" w:rsidRDefault="004D658F" w:rsidP="004D658F">
      <w:pPr>
        <w:spacing w:after="0" w:line="360" w:lineRule="auto"/>
        <w:jc w:val="center"/>
        <w:rPr>
          <w:rFonts w:ascii="Times New Roman" w:hAnsi="Times New Roman" w:cs="Times New Roman"/>
          <w:b/>
          <w:sz w:val="28"/>
          <w:szCs w:val="28"/>
          <w:lang w:val="uk-UA"/>
        </w:rPr>
      </w:pPr>
      <w:r w:rsidRPr="006D710A">
        <w:rPr>
          <w:rFonts w:ascii="Times New Roman" w:hAnsi="Times New Roman" w:cs="Times New Roman"/>
          <w:b/>
          <w:sz w:val="28"/>
          <w:szCs w:val="28"/>
          <w:lang w:val="uk-UA"/>
        </w:rPr>
        <w:t>МІНІСТЕРСТВО ОСВІТИ І НАУКИ УКРАЇНИ</w:t>
      </w:r>
    </w:p>
    <w:p w14:paraId="139360A6" w14:textId="77777777" w:rsidR="004D658F" w:rsidRPr="006D710A" w:rsidRDefault="004D658F" w:rsidP="004D658F">
      <w:pPr>
        <w:spacing w:after="0" w:line="360" w:lineRule="auto"/>
        <w:jc w:val="center"/>
        <w:rPr>
          <w:rFonts w:ascii="Times New Roman" w:hAnsi="Times New Roman" w:cs="Times New Roman"/>
          <w:b/>
          <w:sz w:val="28"/>
          <w:szCs w:val="28"/>
          <w:lang w:val="uk-UA"/>
        </w:rPr>
      </w:pPr>
      <w:r w:rsidRPr="006D710A">
        <w:rPr>
          <w:rFonts w:ascii="Times New Roman" w:hAnsi="Times New Roman" w:cs="Times New Roman"/>
          <w:b/>
          <w:sz w:val="28"/>
          <w:szCs w:val="28"/>
          <w:lang w:val="uk-UA"/>
        </w:rPr>
        <w:t>КИЇВСЬКИЙ НАЦІОНАЛЬНИЙ</w:t>
      </w:r>
    </w:p>
    <w:p w14:paraId="17EF6A6B" w14:textId="77777777" w:rsidR="004D658F" w:rsidRPr="006D710A" w:rsidRDefault="004D658F" w:rsidP="004D658F">
      <w:pPr>
        <w:spacing w:after="0" w:line="360" w:lineRule="auto"/>
        <w:jc w:val="center"/>
        <w:rPr>
          <w:rFonts w:ascii="Times New Roman" w:hAnsi="Times New Roman" w:cs="Times New Roman"/>
          <w:b/>
          <w:sz w:val="28"/>
          <w:szCs w:val="28"/>
          <w:lang w:val="uk-UA"/>
        </w:rPr>
      </w:pPr>
      <w:r w:rsidRPr="006D710A">
        <w:rPr>
          <w:rFonts w:ascii="Times New Roman" w:hAnsi="Times New Roman" w:cs="Times New Roman"/>
          <w:b/>
          <w:sz w:val="28"/>
          <w:szCs w:val="28"/>
          <w:lang w:val="uk-UA"/>
        </w:rPr>
        <w:t>УНІВЕРСИТЕТ ІМЕНІ ТАРАСА ШЕВЧЕНКА</w:t>
      </w:r>
    </w:p>
    <w:p w14:paraId="56D2417E" w14:textId="77777777" w:rsidR="004D658F" w:rsidRPr="006D710A" w:rsidRDefault="004D658F" w:rsidP="004D658F">
      <w:pPr>
        <w:spacing w:after="0" w:line="360" w:lineRule="auto"/>
        <w:jc w:val="center"/>
        <w:rPr>
          <w:rFonts w:ascii="Times New Roman" w:hAnsi="Times New Roman" w:cs="Times New Roman"/>
          <w:b/>
          <w:sz w:val="28"/>
          <w:szCs w:val="28"/>
          <w:lang w:val="uk-UA"/>
        </w:rPr>
      </w:pPr>
      <w:r w:rsidRPr="006D710A">
        <w:rPr>
          <w:rFonts w:ascii="Times New Roman" w:hAnsi="Times New Roman" w:cs="Times New Roman"/>
          <w:b/>
          <w:sz w:val="28"/>
          <w:szCs w:val="28"/>
          <w:lang w:val="uk-UA"/>
        </w:rPr>
        <w:t>ГЕОГРАФІЧНИЙ ФАКУЛЬТЕТ</w:t>
      </w:r>
    </w:p>
    <w:p w14:paraId="5B276892" w14:textId="77777777" w:rsidR="004D658F" w:rsidRPr="006D710A" w:rsidRDefault="004D658F" w:rsidP="004D658F">
      <w:pPr>
        <w:spacing w:after="0" w:line="360" w:lineRule="auto"/>
        <w:jc w:val="center"/>
        <w:rPr>
          <w:rFonts w:ascii="Times New Roman" w:hAnsi="Times New Roman" w:cs="Times New Roman"/>
          <w:b/>
          <w:sz w:val="28"/>
          <w:szCs w:val="28"/>
          <w:lang w:val="uk-UA"/>
        </w:rPr>
      </w:pPr>
      <w:r w:rsidRPr="006D710A">
        <w:rPr>
          <w:rFonts w:ascii="Times New Roman" w:hAnsi="Times New Roman" w:cs="Times New Roman"/>
          <w:b/>
          <w:sz w:val="28"/>
          <w:szCs w:val="28"/>
          <w:lang w:val="uk-UA"/>
        </w:rPr>
        <w:t>КАФЕДРА ГЕОГРАФІЇ УКРАЇНИ</w:t>
      </w:r>
    </w:p>
    <w:p w14:paraId="11E3952A" w14:textId="77777777" w:rsidR="004D658F" w:rsidRPr="006D710A" w:rsidRDefault="004D658F" w:rsidP="004D658F">
      <w:pPr>
        <w:spacing w:after="0" w:line="360" w:lineRule="auto"/>
        <w:jc w:val="both"/>
        <w:rPr>
          <w:rFonts w:ascii="Times New Roman" w:hAnsi="Times New Roman" w:cs="Times New Roman"/>
          <w:b/>
          <w:sz w:val="28"/>
          <w:szCs w:val="28"/>
          <w:lang w:val="uk-UA"/>
        </w:rPr>
      </w:pPr>
    </w:p>
    <w:p w14:paraId="62DE23DA" w14:textId="77777777" w:rsidR="004D658F" w:rsidRPr="006D710A" w:rsidRDefault="004D658F" w:rsidP="004D658F">
      <w:pPr>
        <w:spacing w:after="0" w:line="360" w:lineRule="auto"/>
        <w:jc w:val="right"/>
        <w:rPr>
          <w:rFonts w:ascii="Times New Roman" w:hAnsi="Times New Roman" w:cs="Times New Roman"/>
          <w:sz w:val="28"/>
          <w:szCs w:val="28"/>
          <w:lang w:val="uk-UA"/>
        </w:rPr>
      </w:pPr>
      <w:r w:rsidRPr="006D710A">
        <w:rPr>
          <w:rFonts w:ascii="Times New Roman" w:hAnsi="Times New Roman" w:cs="Times New Roman"/>
          <w:sz w:val="28"/>
          <w:szCs w:val="28"/>
          <w:lang w:val="uk-UA"/>
        </w:rPr>
        <w:t>На правах рукопису</w:t>
      </w:r>
    </w:p>
    <w:p w14:paraId="7E0E0377" w14:textId="2DFEF9A9" w:rsidR="004D658F" w:rsidRPr="004706CC" w:rsidRDefault="004706CC" w:rsidP="004706CC">
      <w:pPr>
        <w:spacing w:after="0" w:line="360" w:lineRule="auto"/>
        <w:jc w:val="right"/>
        <w:rPr>
          <w:rFonts w:ascii="Times New Roman" w:hAnsi="Times New Roman" w:cs="Times New Roman"/>
          <w:sz w:val="28"/>
          <w:szCs w:val="28"/>
          <w:lang w:val="en-US"/>
        </w:rPr>
      </w:pPr>
      <w:r w:rsidRPr="004706CC">
        <w:rPr>
          <w:rFonts w:ascii="Times New Roman" w:hAnsi="Times New Roman" w:cs="Times New Roman"/>
          <w:sz w:val="28"/>
          <w:szCs w:val="28"/>
          <w:lang w:val="uk-UA"/>
        </w:rPr>
        <w:t>УДК</w:t>
      </w:r>
      <w:r w:rsidR="00EF4981">
        <w:rPr>
          <w:rFonts w:ascii="Times New Roman" w:hAnsi="Times New Roman" w:cs="Times New Roman"/>
          <w:sz w:val="28"/>
          <w:szCs w:val="28"/>
          <w:lang w:val="uk-UA"/>
        </w:rPr>
        <w:t xml:space="preserve">: </w:t>
      </w:r>
      <w:r w:rsidRPr="004706CC">
        <w:rPr>
          <w:rFonts w:ascii="Times New Roman" w:hAnsi="Times New Roman" w:cs="Times New Roman"/>
          <w:sz w:val="28"/>
          <w:szCs w:val="28"/>
          <w:lang w:val="uk-UA"/>
        </w:rPr>
        <w:t>373.5.016:91:</w:t>
      </w:r>
      <w:r>
        <w:rPr>
          <w:rFonts w:ascii="Times New Roman" w:hAnsi="Times New Roman" w:cs="Times New Roman"/>
          <w:sz w:val="28"/>
          <w:szCs w:val="28"/>
          <w:lang w:val="en-US"/>
        </w:rPr>
        <w:t>[</w:t>
      </w:r>
      <w:r w:rsidRPr="004706CC">
        <w:rPr>
          <w:rFonts w:ascii="Times New Roman" w:hAnsi="Times New Roman" w:cs="Times New Roman"/>
          <w:sz w:val="28"/>
          <w:szCs w:val="28"/>
          <w:lang w:val="uk-UA"/>
        </w:rPr>
        <w:t>303.442.3+005.336.2</w:t>
      </w:r>
      <w:r>
        <w:rPr>
          <w:rFonts w:ascii="Times New Roman" w:hAnsi="Times New Roman" w:cs="Times New Roman"/>
          <w:sz w:val="28"/>
          <w:szCs w:val="28"/>
          <w:lang w:val="en-US"/>
        </w:rPr>
        <w:t>](</w:t>
      </w:r>
      <w:r>
        <w:rPr>
          <w:rFonts w:ascii="Times New Roman" w:hAnsi="Times New Roman" w:cs="Times New Roman"/>
          <w:sz w:val="28"/>
          <w:szCs w:val="28"/>
          <w:lang w:val="uk-UA"/>
        </w:rPr>
        <w:t>079.2</w:t>
      </w:r>
      <w:r>
        <w:rPr>
          <w:rFonts w:ascii="Times New Roman" w:hAnsi="Times New Roman" w:cs="Times New Roman"/>
          <w:sz w:val="28"/>
          <w:szCs w:val="28"/>
          <w:lang w:val="en-US"/>
        </w:rPr>
        <w:t>)</w:t>
      </w:r>
    </w:p>
    <w:p w14:paraId="2EA4BFC3" w14:textId="77777777" w:rsidR="004706CC" w:rsidRPr="006D710A" w:rsidRDefault="004706CC" w:rsidP="004706CC">
      <w:pPr>
        <w:spacing w:after="0" w:line="360" w:lineRule="auto"/>
        <w:jc w:val="right"/>
        <w:rPr>
          <w:rFonts w:ascii="Times New Roman" w:hAnsi="Times New Roman" w:cs="Times New Roman"/>
          <w:sz w:val="28"/>
          <w:szCs w:val="28"/>
          <w:lang w:val="uk-UA"/>
        </w:rPr>
      </w:pPr>
    </w:p>
    <w:p w14:paraId="187F208E" w14:textId="7E1B5148" w:rsidR="004D658F" w:rsidRDefault="004D658F" w:rsidP="004D658F">
      <w:pPr>
        <w:spacing w:after="0" w:line="360" w:lineRule="auto"/>
        <w:jc w:val="center"/>
        <w:rPr>
          <w:rFonts w:ascii="Times New Roman" w:hAnsi="Times New Roman" w:cs="Times New Roman"/>
          <w:b/>
          <w:sz w:val="28"/>
          <w:szCs w:val="28"/>
          <w:lang w:val="uk-UA"/>
        </w:rPr>
      </w:pPr>
      <w:r w:rsidRPr="004D658F">
        <w:rPr>
          <w:rFonts w:ascii="Times New Roman" w:hAnsi="Times New Roman" w:cs="Times New Roman"/>
          <w:b/>
          <w:sz w:val="28"/>
          <w:szCs w:val="28"/>
          <w:lang w:val="uk-UA"/>
        </w:rPr>
        <w:t>ДОСЛІДНИЦЬКИЙ ПІДХІД У ФОРМУВАННІ ГЕОГРАФІЧНИХ КОМПЕТЕНТНОСТЕЙ УЧНІВ ОСНОВНОЇ ШКОЛИ</w:t>
      </w:r>
    </w:p>
    <w:p w14:paraId="790A3841" w14:textId="77777777" w:rsidR="004D658F" w:rsidRPr="006D710A" w:rsidRDefault="004D658F" w:rsidP="004D658F">
      <w:pPr>
        <w:spacing w:after="0" w:line="360" w:lineRule="auto"/>
        <w:jc w:val="center"/>
        <w:rPr>
          <w:rFonts w:ascii="Times New Roman" w:hAnsi="Times New Roman" w:cs="Times New Roman"/>
          <w:b/>
          <w:sz w:val="28"/>
          <w:szCs w:val="28"/>
          <w:lang w:val="uk-UA"/>
        </w:rPr>
      </w:pPr>
    </w:p>
    <w:p w14:paraId="6010A5DA" w14:textId="77777777" w:rsidR="004D658F" w:rsidRPr="006D710A" w:rsidRDefault="004D658F" w:rsidP="004D658F">
      <w:pPr>
        <w:spacing w:after="0" w:line="360" w:lineRule="auto"/>
        <w:jc w:val="both"/>
        <w:rPr>
          <w:rFonts w:ascii="Times New Roman" w:hAnsi="Times New Roman" w:cs="Times New Roman"/>
          <w:sz w:val="28"/>
          <w:szCs w:val="28"/>
          <w:lang w:val="uk-UA"/>
        </w:rPr>
      </w:pPr>
      <w:r w:rsidRPr="006D710A">
        <w:rPr>
          <w:rFonts w:ascii="Times New Roman" w:hAnsi="Times New Roman" w:cs="Times New Roman"/>
          <w:b/>
          <w:sz w:val="28"/>
          <w:szCs w:val="28"/>
          <w:lang w:val="uk-UA"/>
        </w:rPr>
        <w:t>Галузь знань</w:t>
      </w:r>
      <w:r w:rsidRPr="006D710A">
        <w:rPr>
          <w:rFonts w:ascii="Times New Roman" w:hAnsi="Times New Roman" w:cs="Times New Roman"/>
          <w:sz w:val="28"/>
          <w:szCs w:val="28"/>
          <w:lang w:val="uk-UA"/>
        </w:rPr>
        <w:t xml:space="preserve"> 01-Освіта/ Педагогіка</w:t>
      </w:r>
    </w:p>
    <w:p w14:paraId="79B773DC" w14:textId="77777777" w:rsidR="004D658F" w:rsidRPr="006D710A" w:rsidRDefault="004D658F" w:rsidP="004D658F">
      <w:pPr>
        <w:spacing w:after="0" w:line="360" w:lineRule="auto"/>
        <w:jc w:val="both"/>
        <w:rPr>
          <w:rFonts w:ascii="Times New Roman" w:hAnsi="Times New Roman" w:cs="Times New Roman"/>
          <w:sz w:val="28"/>
          <w:szCs w:val="28"/>
          <w:lang w:val="uk-UA"/>
        </w:rPr>
      </w:pPr>
      <w:r w:rsidRPr="006D710A">
        <w:rPr>
          <w:rFonts w:ascii="Times New Roman" w:hAnsi="Times New Roman" w:cs="Times New Roman"/>
          <w:b/>
          <w:sz w:val="28"/>
          <w:szCs w:val="28"/>
          <w:lang w:val="uk-UA"/>
        </w:rPr>
        <w:t>Спеціальність</w:t>
      </w:r>
      <w:r w:rsidRPr="006D710A">
        <w:rPr>
          <w:rFonts w:ascii="Times New Roman" w:hAnsi="Times New Roman" w:cs="Times New Roman"/>
          <w:sz w:val="28"/>
          <w:szCs w:val="28"/>
          <w:lang w:val="uk-UA"/>
        </w:rPr>
        <w:t xml:space="preserve"> 014.07 Середня освіта (Географія)</w:t>
      </w:r>
    </w:p>
    <w:p w14:paraId="0DE4ACB2" w14:textId="77777777" w:rsidR="004D658F" w:rsidRPr="006D710A" w:rsidRDefault="004D658F" w:rsidP="004D658F">
      <w:pPr>
        <w:spacing w:after="0" w:line="360" w:lineRule="auto"/>
        <w:jc w:val="both"/>
        <w:rPr>
          <w:rFonts w:ascii="Times New Roman" w:hAnsi="Times New Roman" w:cs="Times New Roman"/>
          <w:sz w:val="28"/>
          <w:szCs w:val="28"/>
          <w:lang w:val="uk-UA"/>
        </w:rPr>
      </w:pPr>
      <w:r w:rsidRPr="006D710A">
        <w:rPr>
          <w:rFonts w:ascii="Times New Roman" w:hAnsi="Times New Roman" w:cs="Times New Roman"/>
          <w:b/>
          <w:sz w:val="28"/>
          <w:szCs w:val="28"/>
          <w:lang w:val="uk-UA"/>
        </w:rPr>
        <w:t>Освітня програма</w:t>
      </w:r>
      <w:r w:rsidRPr="006D710A">
        <w:rPr>
          <w:rFonts w:ascii="Times New Roman" w:hAnsi="Times New Roman" w:cs="Times New Roman"/>
          <w:sz w:val="28"/>
          <w:szCs w:val="28"/>
          <w:lang w:val="uk-UA"/>
        </w:rPr>
        <w:t xml:space="preserve"> Географія</w:t>
      </w:r>
    </w:p>
    <w:p w14:paraId="18C1E030" w14:textId="77777777" w:rsidR="004D658F" w:rsidRPr="006D710A" w:rsidRDefault="004D658F" w:rsidP="004D658F">
      <w:pPr>
        <w:spacing w:after="0" w:line="360" w:lineRule="auto"/>
        <w:jc w:val="both"/>
        <w:rPr>
          <w:rFonts w:ascii="Times New Roman" w:hAnsi="Times New Roman" w:cs="Times New Roman"/>
          <w:sz w:val="28"/>
          <w:szCs w:val="28"/>
          <w:lang w:val="uk-UA"/>
        </w:rPr>
      </w:pPr>
    </w:p>
    <w:p w14:paraId="60C25BC4" w14:textId="77777777" w:rsidR="004D658F" w:rsidRPr="006D710A" w:rsidRDefault="004D658F" w:rsidP="004D658F">
      <w:pPr>
        <w:spacing w:after="0" w:line="360" w:lineRule="auto"/>
        <w:jc w:val="right"/>
        <w:rPr>
          <w:rFonts w:ascii="Times New Roman" w:hAnsi="Times New Roman" w:cs="Times New Roman"/>
          <w:sz w:val="28"/>
          <w:szCs w:val="28"/>
          <w:lang w:val="uk-UA"/>
        </w:rPr>
      </w:pPr>
      <w:r w:rsidRPr="006D710A">
        <w:rPr>
          <w:rFonts w:ascii="Times New Roman" w:hAnsi="Times New Roman" w:cs="Times New Roman"/>
          <w:sz w:val="28"/>
          <w:szCs w:val="28"/>
          <w:lang w:val="uk-UA"/>
        </w:rPr>
        <w:t>Кваліфікаційна робота бакалавра</w:t>
      </w:r>
    </w:p>
    <w:p w14:paraId="1B474F3D" w14:textId="77777777" w:rsidR="004D658F" w:rsidRPr="006D710A" w:rsidRDefault="004D658F" w:rsidP="004D658F">
      <w:pPr>
        <w:spacing w:after="0" w:line="360" w:lineRule="auto"/>
        <w:jc w:val="right"/>
        <w:rPr>
          <w:rFonts w:ascii="Times New Roman" w:hAnsi="Times New Roman" w:cs="Times New Roman"/>
          <w:sz w:val="28"/>
          <w:szCs w:val="28"/>
          <w:lang w:val="uk-UA"/>
        </w:rPr>
      </w:pPr>
      <w:r w:rsidRPr="006D710A">
        <w:rPr>
          <w:rFonts w:ascii="Times New Roman" w:hAnsi="Times New Roman" w:cs="Times New Roman"/>
          <w:sz w:val="28"/>
          <w:szCs w:val="28"/>
          <w:lang w:val="uk-UA"/>
        </w:rPr>
        <w:t xml:space="preserve">здобувача освіти 2 курсу </w:t>
      </w:r>
    </w:p>
    <w:p w14:paraId="19B79341" w14:textId="77777777" w:rsidR="004D658F" w:rsidRPr="006D710A" w:rsidRDefault="004D658F" w:rsidP="004D658F">
      <w:pPr>
        <w:spacing w:after="0" w:line="360" w:lineRule="auto"/>
        <w:jc w:val="right"/>
        <w:rPr>
          <w:rFonts w:ascii="Times New Roman" w:hAnsi="Times New Roman" w:cs="Times New Roman"/>
          <w:sz w:val="28"/>
          <w:szCs w:val="28"/>
          <w:lang w:val="uk-UA"/>
        </w:rPr>
      </w:pPr>
      <w:r w:rsidRPr="006D710A">
        <w:rPr>
          <w:rFonts w:ascii="Times New Roman" w:hAnsi="Times New Roman" w:cs="Times New Roman"/>
          <w:sz w:val="28"/>
          <w:szCs w:val="28"/>
          <w:lang w:val="uk-UA"/>
        </w:rPr>
        <w:t>освітнього рівня магістр</w:t>
      </w:r>
    </w:p>
    <w:p w14:paraId="3298F204" w14:textId="6F6556A8" w:rsidR="004D658F" w:rsidRPr="006D710A" w:rsidRDefault="004D658F" w:rsidP="004D658F">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Мухтарова Рустама</w:t>
      </w:r>
    </w:p>
    <w:p w14:paraId="30894F48" w14:textId="77777777" w:rsidR="004D658F" w:rsidRPr="006D710A" w:rsidRDefault="004D658F" w:rsidP="004D658F">
      <w:pPr>
        <w:spacing w:after="0" w:line="360" w:lineRule="auto"/>
        <w:jc w:val="both"/>
        <w:rPr>
          <w:rFonts w:ascii="Times New Roman" w:hAnsi="Times New Roman" w:cs="Times New Roman"/>
          <w:sz w:val="28"/>
          <w:szCs w:val="28"/>
          <w:lang w:val="uk-UA"/>
        </w:rPr>
      </w:pPr>
    </w:p>
    <w:p w14:paraId="1EB3501B" w14:textId="77777777" w:rsidR="004D658F" w:rsidRPr="006D710A" w:rsidRDefault="004D658F" w:rsidP="004D658F">
      <w:pPr>
        <w:spacing w:after="0" w:line="360" w:lineRule="auto"/>
        <w:jc w:val="right"/>
        <w:rPr>
          <w:rFonts w:ascii="Times New Roman" w:hAnsi="Times New Roman" w:cs="Times New Roman"/>
          <w:sz w:val="28"/>
          <w:szCs w:val="28"/>
          <w:lang w:val="uk-UA"/>
        </w:rPr>
      </w:pPr>
      <w:r w:rsidRPr="006D710A">
        <w:rPr>
          <w:rFonts w:ascii="Times New Roman" w:hAnsi="Times New Roman" w:cs="Times New Roman"/>
          <w:sz w:val="28"/>
          <w:szCs w:val="28"/>
          <w:lang w:val="uk-UA"/>
        </w:rPr>
        <w:t xml:space="preserve">Науковий керівник: </w:t>
      </w:r>
    </w:p>
    <w:p w14:paraId="6014D234" w14:textId="77777777" w:rsidR="004D658F" w:rsidRPr="006D710A" w:rsidRDefault="004D658F" w:rsidP="004D658F">
      <w:pPr>
        <w:spacing w:after="0" w:line="360" w:lineRule="auto"/>
        <w:jc w:val="right"/>
        <w:rPr>
          <w:rFonts w:ascii="Times New Roman" w:hAnsi="Times New Roman" w:cs="Times New Roman"/>
          <w:b/>
          <w:sz w:val="28"/>
          <w:szCs w:val="28"/>
          <w:lang w:val="uk-UA"/>
        </w:rPr>
      </w:pPr>
      <w:r w:rsidRPr="006D710A">
        <w:rPr>
          <w:rFonts w:ascii="Times New Roman" w:hAnsi="Times New Roman" w:cs="Times New Roman"/>
          <w:b/>
          <w:sz w:val="28"/>
          <w:szCs w:val="28"/>
          <w:lang w:val="uk-UA"/>
        </w:rPr>
        <w:t>канд.геогр.н., доцент</w:t>
      </w:r>
    </w:p>
    <w:p w14:paraId="19D11026" w14:textId="54C570AB" w:rsidR="004D658F" w:rsidRPr="006D710A" w:rsidRDefault="004D658F" w:rsidP="004D658F">
      <w:pPr>
        <w:spacing w:after="0" w:line="360" w:lineRule="auto"/>
        <w:jc w:val="right"/>
        <w:rPr>
          <w:rFonts w:ascii="Times New Roman" w:hAnsi="Times New Roman" w:cs="Times New Roman"/>
          <w:sz w:val="28"/>
          <w:szCs w:val="28"/>
          <w:lang w:val="uk-UA"/>
        </w:rPr>
      </w:pPr>
      <w:r>
        <w:rPr>
          <w:rFonts w:ascii="Times New Roman" w:hAnsi="Times New Roman" w:cs="Times New Roman"/>
          <w:b/>
          <w:sz w:val="28"/>
          <w:szCs w:val="28"/>
          <w:lang w:val="uk-UA"/>
        </w:rPr>
        <w:t>Уліганець Сергій Іванович</w:t>
      </w:r>
    </w:p>
    <w:p w14:paraId="046553EE" w14:textId="77777777" w:rsidR="004D658F" w:rsidRPr="006D710A" w:rsidRDefault="004D658F" w:rsidP="004D658F">
      <w:pPr>
        <w:spacing w:after="0" w:line="360" w:lineRule="auto"/>
        <w:jc w:val="both"/>
        <w:rPr>
          <w:rFonts w:ascii="Times New Roman" w:hAnsi="Times New Roman" w:cs="Times New Roman"/>
          <w:sz w:val="28"/>
          <w:szCs w:val="28"/>
          <w:lang w:val="uk-UA"/>
        </w:rPr>
      </w:pPr>
    </w:p>
    <w:p w14:paraId="506757DB" w14:textId="77777777" w:rsidR="007326B2" w:rsidRDefault="007326B2" w:rsidP="007326B2">
      <w:pPr>
        <w:widowControl w:val="0"/>
        <w:autoSpaceDE w:val="0"/>
        <w:autoSpaceDN w:val="0"/>
        <w:spacing w:after="0" w:line="240" w:lineRule="auto"/>
        <w:rPr>
          <w:rFonts w:ascii="Times New Roman" w:eastAsia="Times New Roman" w:hAnsi="Times New Roman" w:cs="Times New Roman"/>
          <w:sz w:val="24"/>
          <w:szCs w:val="24"/>
          <w:lang w:val="uk-UA"/>
        </w:rPr>
      </w:pPr>
      <w:r w:rsidRPr="007326B2">
        <w:rPr>
          <w:rFonts w:ascii="Times New Roman" w:eastAsia="Times New Roman" w:hAnsi="Times New Roman" w:cs="Times New Roman"/>
          <w:sz w:val="24"/>
          <w:szCs w:val="24"/>
          <w:lang w:val="uk-UA"/>
        </w:rPr>
        <w:t xml:space="preserve">«Допущено до захисту» </w:t>
      </w:r>
    </w:p>
    <w:p w14:paraId="61061F09" w14:textId="2E049C1A" w:rsidR="007326B2" w:rsidRPr="007326B2" w:rsidRDefault="007326B2" w:rsidP="007326B2">
      <w:pPr>
        <w:widowControl w:val="0"/>
        <w:autoSpaceDE w:val="0"/>
        <w:autoSpaceDN w:val="0"/>
        <w:spacing w:after="0" w:line="240" w:lineRule="auto"/>
        <w:rPr>
          <w:rFonts w:ascii="Times New Roman" w:eastAsia="Times New Roman" w:hAnsi="Times New Roman" w:cs="Times New Roman"/>
          <w:sz w:val="24"/>
          <w:szCs w:val="24"/>
          <w:lang w:val="uk-UA"/>
        </w:rPr>
      </w:pPr>
      <w:r w:rsidRPr="007326B2">
        <w:rPr>
          <w:rFonts w:ascii="Times New Roman" w:eastAsia="Times New Roman" w:hAnsi="Times New Roman" w:cs="Times New Roman"/>
          <w:sz w:val="24"/>
          <w:szCs w:val="24"/>
          <w:lang w:val="uk-UA"/>
        </w:rPr>
        <w:t>завідувач кафедри  к..геогр.н., доц.  _____</w:t>
      </w:r>
      <w:r>
        <w:rPr>
          <w:rFonts w:ascii="Times New Roman" w:eastAsia="Times New Roman" w:hAnsi="Times New Roman" w:cs="Times New Roman"/>
          <w:sz w:val="24"/>
          <w:szCs w:val="24"/>
          <w:lang w:val="uk-UA"/>
        </w:rPr>
        <w:t>_______</w:t>
      </w:r>
      <w:r w:rsidRPr="007326B2">
        <w:rPr>
          <w:rFonts w:ascii="Times New Roman" w:eastAsia="Times New Roman" w:hAnsi="Times New Roman" w:cs="Times New Roman"/>
          <w:sz w:val="24"/>
          <w:szCs w:val="24"/>
          <w:lang w:val="uk-UA"/>
        </w:rPr>
        <w:t xml:space="preserve">__Сергій УЛІГАНЕЦЬ </w:t>
      </w:r>
    </w:p>
    <w:p w14:paraId="42E173F0" w14:textId="77777777" w:rsidR="007326B2" w:rsidRPr="007326B2" w:rsidRDefault="007326B2" w:rsidP="007326B2">
      <w:pPr>
        <w:widowControl w:val="0"/>
        <w:autoSpaceDE w:val="0"/>
        <w:autoSpaceDN w:val="0"/>
        <w:spacing w:after="0" w:line="240" w:lineRule="auto"/>
        <w:rPr>
          <w:rFonts w:ascii="Times New Roman" w:eastAsia="Times New Roman" w:hAnsi="Times New Roman" w:cs="Times New Roman"/>
          <w:sz w:val="24"/>
          <w:szCs w:val="24"/>
          <w:lang w:val="uk-UA"/>
        </w:rPr>
      </w:pPr>
      <w:r w:rsidRPr="007326B2">
        <w:rPr>
          <w:rFonts w:ascii="Times New Roman" w:eastAsia="Times New Roman" w:hAnsi="Times New Roman" w:cs="Times New Roman"/>
          <w:sz w:val="24"/>
          <w:szCs w:val="24"/>
          <w:lang w:val="uk-UA"/>
        </w:rPr>
        <w:t>протокол засідання кафедри географії України №___від ___»_____2026 р</w:t>
      </w:r>
    </w:p>
    <w:p w14:paraId="3E5187EF" w14:textId="77777777" w:rsidR="004D658F" w:rsidRPr="006D710A" w:rsidRDefault="004D658F" w:rsidP="007326B2">
      <w:pPr>
        <w:spacing w:after="0" w:line="360" w:lineRule="auto"/>
        <w:jc w:val="both"/>
        <w:rPr>
          <w:rFonts w:ascii="Times New Roman" w:hAnsi="Times New Roman" w:cs="Times New Roman"/>
          <w:sz w:val="28"/>
          <w:szCs w:val="28"/>
          <w:lang w:val="uk-UA"/>
        </w:rPr>
      </w:pPr>
    </w:p>
    <w:p w14:paraId="58D8B7AF" w14:textId="77777777" w:rsidR="004D658F" w:rsidRPr="006D710A" w:rsidRDefault="004D658F" w:rsidP="004D658F">
      <w:pPr>
        <w:spacing w:after="0" w:line="360" w:lineRule="auto"/>
        <w:jc w:val="both"/>
        <w:rPr>
          <w:rFonts w:ascii="Times New Roman" w:hAnsi="Times New Roman" w:cs="Times New Roman"/>
          <w:sz w:val="28"/>
          <w:szCs w:val="28"/>
          <w:lang w:val="uk-UA"/>
        </w:rPr>
      </w:pPr>
    </w:p>
    <w:p w14:paraId="6C800D65" w14:textId="77777777" w:rsidR="004D658F" w:rsidRPr="006D710A" w:rsidRDefault="004D658F" w:rsidP="004D658F">
      <w:pPr>
        <w:spacing w:after="0" w:line="360" w:lineRule="auto"/>
        <w:jc w:val="center"/>
        <w:rPr>
          <w:rFonts w:ascii="Times New Roman" w:hAnsi="Times New Roman" w:cs="Times New Roman"/>
          <w:sz w:val="28"/>
          <w:szCs w:val="28"/>
          <w:lang w:val="uk-UA"/>
        </w:rPr>
      </w:pPr>
      <w:r w:rsidRPr="006D710A">
        <w:rPr>
          <w:rFonts w:ascii="Times New Roman" w:hAnsi="Times New Roman" w:cs="Times New Roman"/>
          <w:sz w:val="28"/>
          <w:szCs w:val="28"/>
          <w:lang w:val="uk-UA"/>
        </w:rPr>
        <w:t>КИЇВ – 2026</w:t>
      </w:r>
    </w:p>
    <w:p w14:paraId="0C6AD58D" w14:textId="2CBF721C" w:rsidR="002E509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47897855" w14:textId="7FDA3EC0" w:rsidR="004D658F" w:rsidRDefault="004D658F" w:rsidP="004D658F">
      <w:pPr>
        <w:spacing w:after="0" w:line="360" w:lineRule="auto"/>
        <w:rPr>
          <w:rFonts w:ascii="Times New Roman" w:hAnsi="Times New Roman" w:cs="Times New Roman"/>
          <w:b/>
          <w:bCs/>
          <w:sz w:val="28"/>
          <w:szCs w:val="28"/>
          <w:lang w:val="uk-UA"/>
        </w:rPr>
      </w:pPr>
    </w:p>
    <w:p w14:paraId="6A3EB777" w14:textId="2D12F577" w:rsidR="004D658F" w:rsidRDefault="004D658F" w:rsidP="004D658F">
      <w:pPr>
        <w:spacing w:after="0" w:line="360" w:lineRule="auto"/>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655E62">
        <w:rPr>
          <w:rFonts w:ascii="Times New Roman" w:hAnsi="Times New Roman" w:cs="Times New Roman"/>
          <w:sz w:val="28"/>
          <w:szCs w:val="28"/>
          <w:lang w:val="uk-UA"/>
        </w:rPr>
        <w:t>……………………………………………………………………………….4</w:t>
      </w:r>
    </w:p>
    <w:p w14:paraId="29027D06" w14:textId="77777777" w:rsidR="004D658F" w:rsidRPr="004D658F" w:rsidRDefault="004D658F" w:rsidP="004D658F">
      <w:pPr>
        <w:spacing w:after="0" w:line="360" w:lineRule="auto"/>
        <w:jc w:val="both"/>
        <w:rPr>
          <w:rFonts w:ascii="Times New Roman" w:hAnsi="Times New Roman" w:cs="Times New Roman"/>
          <w:sz w:val="28"/>
          <w:szCs w:val="28"/>
          <w:lang w:val="uk-UA"/>
        </w:rPr>
      </w:pPr>
    </w:p>
    <w:p w14:paraId="0311389C" w14:textId="63B86A00" w:rsidR="004D658F" w:rsidRPr="004D658F" w:rsidRDefault="004D658F" w:rsidP="004D658F">
      <w:pPr>
        <w:spacing w:after="0" w:line="360" w:lineRule="auto"/>
        <w:jc w:val="both"/>
        <w:rPr>
          <w:rFonts w:ascii="Times New Roman" w:hAnsi="Times New Roman" w:cs="Times New Roman"/>
          <w:b/>
          <w:bCs/>
          <w:sz w:val="28"/>
          <w:szCs w:val="28"/>
          <w:lang w:val="uk-UA"/>
        </w:rPr>
      </w:pPr>
      <w:r w:rsidRPr="004D658F">
        <w:rPr>
          <w:rFonts w:ascii="Times New Roman" w:hAnsi="Times New Roman" w:cs="Times New Roman"/>
          <w:b/>
          <w:bCs/>
          <w:sz w:val="28"/>
          <w:szCs w:val="28"/>
          <w:lang w:val="uk-UA"/>
        </w:rPr>
        <w:t>Розділ 1. ТЕОРЕТИКО-МЕТОДОЛОГІЧНІ ЗАСАДИ ДОСЛІДНИЦЬКОГО ПІДХОДУ У НАВЧАННІ ГЕОГРАФІЇ</w:t>
      </w:r>
      <w:r w:rsidR="00655E62">
        <w:rPr>
          <w:rFonts w:ascii="Times New Roman" w:hAnsi="Times New Roman" w:cs="Times New Roman"/>
          <w:b/>
          <w:bCs/>
          <w:sz w:val="28"/>
          <w:szCs w:val="28"/>
          <w:lang w:val="uk-UA"/>
        </w:rPr>
        <w:t>…………………………………………..6</w:t>
      </w:r>
    </w:p>
    <w:p w14:paraId="46B56D1F" w14:textId="4298CAD8"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1.1. Сутність дослідницького підходу в педагогіці та його роль у формуванні компетентностей учнів</w:t>
      </w:r>
      <w:r w:rsidR="00655E62">
        <w:rPr>
          <w:rFonts w:ascii="Times New Roman" w:hAnsi="Times New Roman" w:cs="Times New Roman"/>
          <w:sz w:val="28"/>
          <w:szCs w:val="28"/>
          <w:lang w:val="uk-UA"/>
        </w:rPr>
        <w:t>…………………………………………………………6</w:t>
      </w:r>
    </w:p>
    <w:p w14:paraId="39281DCC" w14:textId="6FD90152"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1.2. Нормативно-правові та програмно-методичні засади формування географічних компетентностей у процесі навчання географії в закладах загальної середньої освіти</w:t>
      </w:r>
      <w:r w:rsidR="00655E62">
        <w:rPr>
          <w:rFonts w:ascii="Times New Roman" w:hAnsi="Times New Roman" w:cs="Times New Roman"/>
          <w:sz w:val="28"/>
          <w:szCs w:val="28"/>
          <w:lang w:val="uk-UA"/>
        </w:rPr>
        <w:t>…………………………………………………….15</w:t>
      </w:r>
    </w:p>
    <w:p w14:paraId="530BFC4A" w14:textId="087F5642"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1.3. Зарубіжний та історичний досвід розвитку дослідницького навчання у шкільній географії</w:t>
      </w:r>
      <w:r w:rsidR="00655E62">
        <w:rPr>
          <w:rFonts w:ascii="Times New Roman" w:hAnsi="Times New Roman" w:cs="Times New Roman"/>
          <w:sz w:val="28"/>
          <w:szCs w:val="28"/>
          <w:lang w:val="uk-UA"/>
        </w:rPr>
        <w:t>…………………………………………………………….28</w:t>
      </w:r>
    </w:p>
    <w:p w14:paraId="0DDA9347" w14:textId="77777777" w:rsidR="004D658F" w:rsidRPr="004D658F" w:rsidRDefault="004D658F" w:rsidP="004D658F">
      <w:pPr>
        <w:spacing w:after="0" w:line="360" w:lineRule="auto"/>
        <w:jc w:val="both"/>
        <w:rPr>
          <w:rFonts w:ascii="Times New Roman" w:hAnsi="Times New Roman" w:cs="Times New Roman"/>
          <w:b/>
          <w:bCs/>
          <w:sz w:val="28"/>
          <w:szCs w:val="28"/>
          <w:lang w:val="uk-UA"/>
        </w:rPr>
      </w:pPr>
    </w:p>
    <w:p w14:paraId="1550CFF4" w14:textId="25718C12" w:rsidR="004D658F" w:rsidRPr="004D658F" w:rsidRDefault="004D658F" w:rsidP="004D658F">
      <w:pPr>
        <w:spacing w:after="0" w:line="360" w:lineRule="auto"/>
        <w:jc w:val="both"/>
        <w:rPr>
          <w:rFonts w:ascii="Times New Roman" w:hAnsi="Times New Roman" w:cs="Times New Roman"/>
          <w:b/>
          <w:bCs/>
          <w:sz w:val="28"/>
          <w:szCs w:val="28"/>
          <w:lang w:val="uk-UA"/>
        </w:rPr>
      </w:pPr>
      <w:r w:rsidRPr="004D658F">
        <w:rPr>
          <w:rFonts w:ascii="Times New Roman" w:hAnsi="Times New Roman" w:cs="Times New Roman"/>
          <w:b/>
          <w:bCs/>
          <w:sz w:val="28"/>
          <w:szCs w:val="28"/>
          <w:lang w:val="uk-UA"/>
        </w:rPr>
        <w:t>Розділ 2.АНАЛІЗ СТАНУ ТА УМОВ ФОРМУВАННЯ ГЕОГРАФІЧНИХ КОМПЕТЕНТНОСТЕЙ УЧНІВ ОСНОВНОЇ ШКОЛИ</w:t>
      </w:r>
      <w:r w:rsidR="00655E62">
        <w:rPr>
          <w:rFonts w:ascii="Times New Roman" w:hAnsi="Times New Roman" w:cs="Times New Roman"/>
          <w:b/>
          <w:bCs/>
          <w:sz w:val="28"/>
          <w:szCs w:val="28"/>
          <w:lang w:val="uk-UA"/>
        </w:rPr>
        <w:t>……………………..40</w:t>
      </w:r>
    </w:p>
    <w:p w14:paraId="58469037" w14:textId="7B7F0225"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2.1. Рівень сформованості географічних компетентностей учнів основної школи: діагностика та результати</w:t>
      </w:r>
      <w:r w:rsidR="00655E62">
        <w:rPr>
          <w:rFonts w:ascii="Times New Roman" w:hAnsi="Times New Roman" w:cs="Times New Roman"/>
          <w:sz w:val="28"/>
          <w:szCs w:val="28"/>
          <w:lang w:val="uk-UA"/>
        </w:rPr>
        <w:t>……………………………………………40</w:t>
      </w:r>
    </w:p>
    <w:p w14:paraId="2617803F" w14:textId="2BDCE10C"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2.2. Освітнє середовище та ресурсне забезпечення реалізації дослідницького підходу</w:t>
      </w:r>
      <w:r w:rsidR="00655E62">
        <w:rPr>
          <w:rFonts w:ascii="Times New Roman" w:hAnsi="Times New Roman" w:cs="Times New Roman"/>
          <w:sz w:val="28"/>
          <w:szCs w:val="28"/>
          <w:lang w:val="uk-UA"/>
        </w:rPr>
        <w:t>…………………………………………………………………………47</w:t>
      </w:r>
    </w:p>
    <w:p w14:paraId="6E9FCACC" w14:textId="210A1F77"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2.3. Педагогічні умови та чинники ефективності формування географічних компетентностей</w:t>
      </w:r>
      <w:r w:rsidR="00655E62">
        <w:rPr>
          <w:rFonts w:ascii="Times New Roman" w:hAnsi="Times New Roman" w:cs="Times New Roman"/>
          <w:sz w:val="28"/>
          <w:szCs w:val="28"/>
          <w:lang w:val="uk-UA"/>
        </w:rPr>
        <w:t>………………………………………………………………54</w:t>
      </w:r>
    </w:p>
    <w:p w14:paraId="0333F31E" w14:textId="77777777" w:rsidR="004D658F" w:rsidRPr="004D658F" w:rsidRDefault="004D658F" w:rsidP="004D658F">
      <w:pPr>
        <w:spacing w:after="0" w:line="360" w:lineRule="auto"/>
        <w:jc w:val="both"/>
        <w:rPr>
          <w:rFonts w:ascii="Times New Roman" w:hAnsi="Times New Roman" w:cs="Times New Roman"/>
          <w:sz w:val="28"/>
          <w:szCs w:val="28"/>
          <w:lang w:val="uk-UA"/>
        </w:rPr>
      </w:pPr>
    </w:p>
    <w:p w14:paraId="7B0274E0" w14:textId="2052F1A9" w:rsidR="004D658F" w:rsidRPr="004D658F" w:rsidRDefault="004D658F" w:rsidP="004D658F">
      <w:pPr>
        <w:spacing w:after="0" w:line="360" w:lineRule="auto"/>
        <w:jc w:val="both"/>
        <w:rPr>
          <w:rFonts w:ascii="Times New Roman" w:hAnsi="Times New Roman" w:cs="Times New Roman"/>
          <w:b/>
          <w:bCs/>
          <w:sz w:val="28"/>
          <w:szCs w:val="28"/>
          <w:lang w:val="uk-UA"/>
        </w:rPr>
      </w:pPr>
      <w:r w:rsidRPr="004D658F">
        <w:rPr>
          <w:rFonts w:ascii="Times New Roman" w:hAnsi="Times New Roman" w:cs="Times New Roman"/>
          <w:b/>
          <w:bCs/>
          <w:sz w:val="28"/>
          <w:szCs w:val="28"/>
          <w:lang w:val="uk-UA"/>
        </w:rPr>
        <w:t>Розділ 3. МЕТОДИЧНІ ОСНОВИ РЕАЛІЗАЦІЇ ДОСЛІДНИЦЬКОГО ПІДХОДУ У НАВЧАННІ ГЕОГРАФІЇ</w:t>
      </w:r>
      <w:r w:rsidR="00655E62">
        <w:rPr>
          <w:rFonts w:ascii="Times New Roman" w:hAnsi="Times New Roman" w:cs="Times New Roman"/>
          <w:b/>
          <w:bCs/>
          <w:sz w:val="28"/>
          <w:szCs w:val="28"/>
          <w:lang w:val="uk-UA"/>
        </w:rPr>
        <w:t>…………………………………………63</w:t>
      </w:r>
    </w:p>
    <w:p w14:paraId="284AB14F" w14:textId="429FE852"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3.1. Модель формування географічних компетентностей учнів засобами дослідницької діяльності</w:t>
      </w:r>
      <w:r w:rsidR="00655E62">
        <w:rPr>
          <w:rFonts w:ascii="Times New Roman" w:hAnsi="Times New Roman" w:cs="Times New Roman"/>
          <w:sz w:val="28"/>
          <w:szCs w:val="28"/>
          <w:lang w:val="uk-UA"/>
        </w:rPr>
        <w:t>……………………………………………………...63</w:t>
      </w:r>
    </w:p>
    <w:p w14:paraId="5480FEE3" w14:textId="366D65C4" w:rsidR="004D658F" w:rsidRP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3.2. Методичний інструментарій реалізації дослідницького підходу у курсі географії 5</w:t>
      </w:r>
      <w:r w:rsidR="00655E62">
        <w:rPr>
          <w:rFonts w:ascii="Times New Roman" w:hAnsi="Times New Roman" w:cs="Times New Roman"/>
          <w:sz w:val="28"/>
          <w:szCs w:val="28"/>
          <w:lang w:val="uk-UA"/>
        </w:rPr>
        <w:t>-</w:t>
      </w:r>
      <w:r w:rsidRPr="004D658F">
        <w:rPr>
          <w:rFonts w:ascii="Times New Roman" w:hAnsi="Times New Roman" w:cs="Times New Roman"/>
          <w:sz w:val="28"/>
          <w:szCs w:val="28"/>
          <w:lang w:val="uk-UA"/>
        </w:rPr>
        <w:t>9 класів</w:t>
      </w:r>
      <w:r w:rsidR="00655E62">
        <w:rPr>
          <w:rFonts w:ascii="Times New Roman" w:hAnsi="Times New Roman" w:cs="Times New Roman"/>
          <w:sz w:val="28"/>
          <w:szCs w:val="28"/>
          <w:lang w:val="uk-UA"/>
        </w:rPr>
        <w:t>…………………………………………………………....70</w:t>
      </w:r>
    </w:p>
    <w:p w14:paraId="0733F243" w14:textId="1F647497" w:rsidR="004D658F" w:rsidRDefault="004D658F" w:rsidP="004D658F">
      <w:pPr>
        <w:spacing w:after="0" w:line="360" w:lineRule="auto"/>
        <w:ind w:left="567"/>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lastRenderedPageBreak/>
        <w:t>3.3. Критерії, показники та рівні сформованості географічних компетентностей учнів</w:t>
      </w:r>
      <w:r w:rsidR="00655E62">
        <w:rPr>
          <w:rFonts w:ascii="Times New Roman" w:hAnsi="Times New Roman" w:cs="Times New Roman"/>
          <w:sz w:val="28"/>
          <w:szCs w:val="28"/>
          <w:lang w:val="uk-UA"/>
        </w:rPr>
        <w:t>………………………………………………………..83</w:t>
      </w:r>
    </w:p>
    <w:p w14:paraId="0B0D4208" w14:textId="77777777" w:rsidR="004D658F" w:rsidRPr="004D658F" w:rsidRDefault="004D658F" w:rsidP="004D658F">
      <w:pPr>
        <w:spacing w:after="0" w:line="360" w:lineRule="auto"/>
        <w:ind w:left="567"/>
        <w:jc w:val="both"/>
        <w:rPr>
          <w:rFonts w:ascii="Times New Roman" w:hAnsi="Times New Roman" w:cs="Times New Roman"/>
          <w:sz w:val="28"/>
          <w:szCs w:val="28"/>
          <w:lang w:val="uk-UA"/>
        </w:rPr>
      </w:pPr>
    </w:p>
    <w:p w14:paraId="6137D6DF" w14:textId="50234269" w:rsidR="004D658F" w:rsidRPr="004D658F" w:rsidRDefault="004D658F" w:rsidP="004D658F">
      <w:pPr>
        <w:spacing w:after="0" w:line="360" w:lineRule="auto"/>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Висновки</w:t>
      </w:r>
      <w:r w:rsidR="00655E62">
        <w:rPr>
          <w:rFonts w:ascii="Times New Roman" w:hAnsi="Times New Roman" w:cs="Times New Roman"/>
          <w:sz w:val="28"/>
          <w:szCs w:val="28"/>
          <w:lang w:val="uk-UA"/>
        </w:rPr>
        <w:t>…………………………………………………………………………….98</w:t>
      </w:r>
    </w:p>
    <w:p w14:paraId="15E57D73" w14:textId="78F87C5F" w:rsidR="004D658F" w:rsidRPr="004D658F" w:rsidRDefault="004D658F" w:rsidP="004D658F">
      <w:pPr>
        <w:spacing w:after="0" w:line="360" w:lineRule="auto"/>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Список використаних джерел</w:t>
      </w:r>
      <w:r w:rsidR="00655E62">
        <w:rPr>
          <w:rFonts w:ascii="Times New Roman" w:hAnsi="Times New Roman" w:cs="Times New Roman"/>
          <w:sz w:val="28"/>
          <w:szCs w:val="28"/>
          <w:lang w:val="uk-UA"/>
        </w:rPr>
        <w:t>…………………………………………………….101</w:t>
      </w:r>
    </w:p>
    <w:p w14:paraId="343B239A" w14:textId="231620C9" w:rsidR="004D658F" w:rsidRDefault="004D658F" w:rsidP="004D658F">
      <w:pPr>
        <w:spacing w:after="0" w:line="360" w:lineRule="auto"/>
        <w:rPr>
          <w:rFonts w:ascii="Times New Roman" w:hAnsi="Times New Roman" w:cs="Times New Roman"/>
          <w:sz w:val="28"/>
          <w:szCs w:val="28"/>
          <w:lang w:val="uk-UA"/>
        </w:rPr>
      </w:pPr>
      <w:r w:rsidRPr="004D658F">
        <w:rPr>
          <w:rFonts w:ascii="Times New Roman" w:hAnsi="Times New Roman" w:cs="Times New Roman"/>
          <w:sz w:val="28"/>
          <w:szCs w:val="28"/>
          <w:lang w:val="uk-UA"/>
        </w:rPr>
        <w:t>Додатки</w:t>
      </w:r>
      <w:r w:rsidR="00655E62">
        <w:rPr>
          <w:rFonts w:ascii="Times New Roman" w:hAnsi="Times New Roman" w:cs="Times New Roman"/>
          <w:sz w:val="28"/>
          <w:szCs w:val="28"/>
          <w:lang w:val="uk-UA"/>
        </w:rPr>
        <w:t>…………………………………………………………………………….116</w:t>
      </w:r>
    </w:p>
    <w:p w14:paraId="580DC810" w14:textId="23C0F36B" w:rsidR="004D658F" w:rsidRDefault="004D658F" w:rsidP="004D658F">
      <w:pPr>
        <w:spacing w:after="0" w:line="360" w:lineRule="auto"/>
        <w:rPr>
          <w:rFonts w:ascii="Times New Roman" w:hAnsi="Times New Roman" w:cs="Times New Roman"/>
          <w:sz w:val="28"/>
          <w:szCs w:val="28"/>
          <w:lang w:val="uk-UA"/>
        </w:rPr>
      </w:pPr>
    </w:p>
    <w:p w14:paraId="3C470F09" w14:textId="0D18AAD5" w:rsidR="004D658F" w:rsidRDefault="004D658F" w:rsidP="004D658F">
      <w:pPr>
        <w:spacing w:after="0" w:line="360" w:lineRule="auto"/>
        <w:rPr>
          <w:rFonts w:ascii="Times New Roman" w:hAnsi="Times New Roman" w:cs="Times New Roman"/>
          <w:sz w:val="28"/>
          <w:szCs w:val="28"/>
          <w:lang w:val="uk-UA"/>
        </w:rPr>
      </w:pPr>
    </w:p>
    <w:p w14:paraId="065E69B3" w14:textId="6F09B3F8" w:rsidR="004D658F" w:rsidRDefault="004D658F" w:rsidP="004D658F">
      <w:pPr>
        <w:spacing w:after="0" w:line="360" w:lineRule="auto"/>
        <w:rPr>
          <w:rFonts w:ascii="Times New Roman" w:hAnsi="Times New Roman" w:cs="Times New Roman"/>
          <w:sz w:val="28"/>
          <w:szCs w:val="28"/>
          <w:lang w:val="uk-UA"/>
        </w:rPr>
      </w:pPr>
    </w:p>
    <w:p w14:paraId="624A16EB" w14:textId="4F5E2FE1" w:rsidR="004D658F" w:rsidRDefault="004D658F" w:rsidP="004D658F">
      <w:pPr>
        <w:spacing w:after="0" w:line="360" w:lineRule="auto"/>
        <w:rPr>
          <w:rFonts w:ascii="Times New Roman" w:hAnsi="Times New Roman" w:cs="Times New Roman"/>
          <w:sz w:val="28"/>
          <w:szCs w:val="28"/>
          <w:lang w:val="uk-UA"/>
        </w:rPr>
      </w:pPr>
    </w:p>
    <w:p w14:paraId="6B5FA3E7" w14:textId="4F1FB49A" w:rsidR="004D658F" w:rsidRDefault="004D658F" w:rsidP="004D658F">
      <w:pPr>
        <w:spacing w:after="0" w:line="360" w:lineRule="auto"/>
        <w:rPr>
          <w:rFonts w:ascii="Times New Roman" w:hAnsi="Times New Roman" w:cs="Times New Roman"/>
          <w:sz w:val="28"/>
          <w:szCs w:val="28"/>
          <w:lang w:val="uk-UA"/>
        </w:rPr>
      </w:pPr>
    </w:p>
    <w:p w14:paraId="0E605024" w14:textId="1FEF208A" w:rsidR="004D658F" w:rsidRDefault="004D658F" w:rsidP="004D658F">
      <w:pPr>
        <w:spacing w:after="0" w:line="360" w:lineRule="auto"/>
        <w:rPr>
          <w:rFonts w:ascii="Times New Roman" w:hAnsi="Times New Roman" w:cs="Times New Roman"/>
          <w:sz w:val="28"/>
          <w:szCs w:val="28"/>
          <w:lang w:val="uk-UA"/>
        </w:rPr>
      </w:pPr>
    </w:p>
    <w:p w14:paraId="33C00F19" w14:textId="6A0FF810" w:rsidR="004D658F" w:rsidRDefault="004D658F" w:rsidP="004D658F">
      <w:pPr>
        <w:spacing w:after="0" w:line="360" w:lineRule="auto"/>
        <w:rPr>
          <w:rFonts w:ascii="Times New Roman" w:hAnsi="Times New Roman" w:cs="Times New Roman"/>
          <w:sz w:val="28"/>
          <w:szCs w:val="28"/>
          <w:lang w:val="uk-UA"/>
        </w:rPr>
      </w:pPr>
    </w:p>
    <w:p w14:paraId="01AC70AF" w14:textId="4F6B8825" w:rsidR="004D658F" w:rsidRDefault="004D658F" w:rsidP="004D658F">
      <w:pPr>
        <w:spacing w:after="0" w:line="360" w:lineRule="auto"/>
        <w:rPr>
          <w:rFonts w:ascii="Times New Roman" w:hAnsi="Times New Roman" w:cs="Times New Roman"/>
          <w:sz w:val="28"/>
          <w:szCs w:val="28"/>
          <w:lang w:val="uk-UA"/>
        </w:rPr>
      </w:pPr>
    </w:p>
    <w:p w14:paraId="6B52D17A" w14:textId="633B2496" w:rsidR="004D658F" w:rsidRDefault="004D658F" w:rsidP="004D658F">
      <w:pPr>
        <w:spacing w:after="0" w:line="360" w:lineRule="auto"/>
        <w:rPr>
          <w:rFonts w:ascii="Times New Roman" w:hAnsi="Times New Roman" w:cs="Times New Roman"/>
          <w:sz w:val="28"/>
          <w:szCs w:val="28"/>
          <w:lang w:val="uk-UA"/>
        </w:rPr>
      </w:pPr>
    </w:p>
    <w:p w14:paraId="6EF784A7" w14:textId="28A8E5AB" w:rsidR="004D658F" w:rsidRDefault="004D658F" w:rsidP="004D658F">
      <w:pPr>
        <w:spacing w:after="0" w:line="360" w:lineRule="auto"/>
        <w:rPr>
          <w:rFonts w:ascii="Times New Roman" w:hAnsi="Times New Roman" w:cs="Times New Roman"/>
          <w:sz w:val="28"/>
          <w:szCs w:val="28"/>
          <w:lang w:val="uk-UA"/>
        </w:rPr>
      </w:pPr>
    </w:p>
    <w:p w14:paraId="727F9348" w14:textId="234219E8" w:rsidR="004D658F" w:rsidRDefault="004D658F" w:rsidP="004D658F">
      <w:pPr>
        <w:spacing w:after="0" w:line="360" w:lineRule="auto"/>
        <w:rPr>
          <w:rFonts w:ascii="Times New Roman" w:hAnsi="Times New Roman" w:cs="Times New Roman"/>
          <w:sz w:val="28"/>
          <w:szCs w:val="28"/>
          <w:lang w:val="uk-UA"/>
        </w:rPr>
      </w:pPr>
    </w:p>
    <w:p w14:paraId="39E8B0B9" w14:textId="2ED08213" w:rsidR="004D658F" w:rsidRDefault="004D658F" w:rsidP="004D658F">
      <w:pPr>
        <w:spacing w:after="0" w:line="360" w:lineRule="auto"/>
        <w:rPr>
          <w:rFonts w:ascii="Times New Roman" w:hAnsi="Times New Roman" w:cs="Times New Roman"/>
          <w:sz w:val="28"/>
          <w:szCs w:val="28"/>
          <w:lang w:val="uk-UA"/>
        </w:rPr>
      </w:pPr>
    </w:p>
    <w:p w14:paraId="101AD6B7" w14:textId="70ABECB7" w:rsidR="004D658F" w:rsidRDefault="004D658F" w:rsidP="004D658F">
      <w:pPr>
        <w:spacing w:after="0" w:line="360" w:lineRule="auto"/>
        <w:rPr>
          <w:rFonts w:ascii="Times New Roman" w:hAnsi="Times New Roman" w:cs="Times New Roman"/>
          <w:sz w:val="28"/>
          <w:szCs w:val="28"/>
          <w:lang w:val="uk-UA"/>
        </w:rPr>
      </w:pPr>
    </w:p>
    <w:p w14:paraId="0EA51834" w14:textId="6E9E2FC5" w:rsidR="004D658F" w:rsidRDefault="004D658F" w:rsidP="004D658F">
      <w:pPr>
        <w:spacing w:after="0" w:line="360" w:lineRule="auto"/>
        <w:rPr>
          <w:rFonts w:ascii="Times New Roman" w:hAnsi="Times New Roman" w:cs="Times New Roman"/>
          <w:sz w:val="28"/>
          <w:szCs w:val="28"/>
          <w:lang w:val="uk-UA"/>
        </w:rPr>
      </w:pPr>
    </w:p>
    <w:p w14:paraId="459B9133" w14:textId="7C1E3C72" w:rsidR="004D658F" w:rsidRDefault="004D658F" w:rsidP="004D658F">
      <w:pPr>
        <w:spacing w:after="0" w:line="360" w:lineRule="auto"/>
        <w:rPr>
          <w:rFonts w:ascii="Times New Roman" w:hAnsi="Times New Roman" w:cs="Times New Roman"/>
          <w:sz w:val="28"/>
          <w:szCs w:val="28"/>
          <w:lang w:val="uk-UA"/>
        </w:rPr>
      </w:pPr>
    </w:p>
    <w:p w14:paraId="2F01E956" w14:textId="77614EE6" w:rsidR="004D658F" w:rsidRDefault="004D658F" w:rsidP="004D658F">
      <w:pPr>
        <w:spacing w:after="0" w:line="360" w:lineRule="auto"/>
        <w:rPr>
          <w:rFonts w:ascii="Times New Roman" w:hAnsi="Times New Roman" w:cs="Times New Roman"/>
          <w:sz w:val="28"/>
          <w:szCs w:val="28"/>
          <w:lang w:val="uk-UA"/>
        </w:rPr>
      </w:pPr>
    </w:p>
    <w:p w14:paraId="6B1CB268" w14:textId="46F52C81" w:rsidR="004D658F" w:rsidRDefault="004D658F" w:rsidP="004D658F">
      <w:pPr>
        <w:spacing w:after="0" w:line="360" w:lineRule="auto"/>
        <w:rPr>
          <w:rFonts w:ascii="Times New Roman" w:hAnsi="Times New Roman" w:cs="Times New Roman"/>
          <w:sz w:val="28"/>
          <w:szCs w:val="28"/>
          <w:lang w:val="uk-UA"/>
        </w:rPr>
      </w:pPr>
    </w:p>
    <w:p w14:paraId="46B919EB" w14:textId="46242A08" w:rsidR="004D658F" w:rsidRDefault="004D658F" w:rsidP="004D658F">
      <w:pPr>
        <w:spacing w:after="0" w:line="360" w:lineRule="auto"/>
        <w:rPr>
          <w:rFonts w:ascii="Times New Roman" w:hAnsi="Times New Roman" w:cs="Times New Roman"/>
          <w:sz w:val="28"/>
          <w:szCs w:val="28"/>
          <w:lang w:val="uk-UA"/>
        </w:rPr>
      </w:pPr>
    </w:p>
    <w:p w14:paraId="746D50B1" w14:textId="20BD83B3" w:rsidR="004D658F" w:rsidRDefault="004D658F" w:rsidP="004D658F">
      <w:pPr>
        <w:spacing w:after="0" w:line="360" w:lineRule="auto"/>
        <w:rPr>
          <w:rFonts w:ascii="Times New Roman" w:hAnsi="Times New Roman" w:cs="Times New Roman"/>
          <w:sz w:val="28"/>
          <w:szCs w:val="28"/>
          <w:lang w:val="uk-UA"/>
        </w:rPr>
      </w:pPr>
    </w:p>
    <w:p w14:paraId="21722500" w14:textId="3302229B" w:rsidR="004D658F" w:rsidRDefault="004D658F" w:rsidP="004D658F">
      <w:pPr>
        <w:spacing w:after="0" w:line="360" w:lineRule="auto"/>
        <w:rPr>
          <w:rFonts w:ascii="Times New Roman" w:hAnsi="Times New Roman" w:cs="Times New Roman"/>
          <w:sz w:val="28"/>
          <w:szCs w:val="28"/>
          <w:lang w:val="uk-UA"/>
        </w:rPr>
      </w:pPr>
    </w:p>
    <w:p w14:paraId="73F65139" w14:textId="4B96EB65" w:rsidR="004D658F" w:rsidRDefault="004D658F" w:rsidP="004D658F">
      <w:pPr>
        <w:spacing w:after="0" w:line="360" w:lineRule="auto"/>
        <w:rPr>
          <w:rFonts w:ascii="Times New Roman" w:hAnsi="Times New Roman" w:cs="Times New Roman"/>
          <w:sz w:val="28"/>
          <w:szCs w:val="28"/>
          <w:lang w:val="uk-UA"/>
        </w:rPr>
      </w:pPr>
    </w:p>
    <w:p w14:paraId="77D16CE9" w14:textId="384C2413" w:rsidR="004D658F" w:rsidRDefault="004D658F" w:rsidP="004D658F">
      <w:pPr>
        <w:spacing w:after="0" w:line="360" w:lineRule="auto"/>
        <w:rPr>
          <w:rFonts w:ascii="Times New Roman" w:hAnsi="Times New Roman" w:cs="Times New Roman"/>
          <w:sz w:val="28"/>
          <w:szCs w:val="28"/>
          <w:lang w:val="uk-UA"/>
        </w:rPr>
      </w:pPr>
    </w:p>
    <w:p w14:paraId="5C10C970" w14:textId="0B0CB40B" w:rsidR="004D658F" w:rsidRDefault="004D658F" w:rsidP="004D658F">
      <w:pPr>
        <w:spacing w:after="0" w:line="360" w:lineRule="auto"/>
        <w:rPr>
          <w:rFonts w:ascii="Times New Roman" w:hAnsi="Times New Roman" w:cs="Times New Roman"/>
          <w:sz w:val="28"/>
          <w:szCs w:val="28"/>
          <w:lang w:val="uk-UA"/>
        </w:rPr>
      </w:pPr>
    </w:p>
    <w:p w14:paraId="0163C21F" w14:textId="6B1AD49C" w:rsidR="004D658F" w:rsidRDefault="004D658F" w:rsidP="004D658F">
      <w:pPr>
        <w:spacing w:after="0" w:line="360" w:lineRule="auto"/>
        <w:rPr>
          <w:rFonts w:ascii="Times New Roman" w:hAnsi="Times New Roman" w:cs="Times New Roman"/>
          <w:sz w:val="28"/>
          <w:szCs w:val="28"/>
          <w:lang w:val="uk-UA"/>
        </w:rPr>
      </w:pPr>
    </w:p>
    <w:p w14:paraId="486B3B92" w14:textId="77777777" w:rsidR="004D658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54D93E7B" w14:textId="77777777" w:rsidR="004D658F" w:rsidRDefault="004D658F" w:rsidP="004D658F">
      <w:pPr>
        <w:spacing w:after="0" w:line="360" w:lineRule="auto"/>
        <w:rPr>
          <w:rFonts w:ascii="Times New Roman" w:hAnsi="Times New Roman" w:cs="Times New Roman"/>
          <w:b/>
          <w:bCs/>
          <w:sz w:val="28"/>
          <w:szCs w:val="28"/>
          <w:lang w:val="uk-UA"/>
        </w:rPr>
      </w:pPr>
    </w:p>
    <w:p w14:paraId="2D3EEAD9"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Актуальність теми дослідження зумовлена сучасними трансформаціями освітнього простору України, спрямованими на формування компетентнісної моделі навчання відповідно до концепції Нової української школи. У цьому контексті особливої ваги набуває розвиток географічних компетентностей учнів, які забезпечують здатність орієнтуватися в просторі, аналізувати природні та соціально-економічні процеси, приймати обґрунтовані рішення. Водночас традиційні методи навчання не завжди сприяють активному залученню учнів до пізнавальної діяльності, що актуалізує впровадження дослідницького підходу як ефективного засобу формування ключових і предметних компетентностей. Саме тому проблема реалізації дослідницького підходу у навчанні географії є актуальною, науково значущою та практично доцільною.</w:t>
      </w:r>
    </w:p>
    <w:p w14:paraId="61C44B77"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Метою кваліфікаційної роботи є теоретичне обґрунтування та розроблення методичних засад реалізації дослідницького підходу у формуванні географічних компетентностей учнів основної школи.</w:t>
      </w:r>
    </w:p>
    <w:p w14:paraId="428FFCC1"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Для досягнення поставленої мети визначено такі завдання:</w:t>
      </w:r>
    </w:p>
    <w:p w14:paraId="28E060DD"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вивчити сутність дослідницького підходу в педагогіці та його роль у формуванні компетентностей учнів;</w:t>
      </w:r>
    </w:p>
    <w:p w14:paraId="42F0D594"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проаналізувати нормативно-правові та програмно-методичні засади формування географічних компетентностей у закладах загальної середньої освіти;</w:t>
      </w:r>
    </w:p>
    <w:p w14:paraId="2C3E59B2"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з’ясувати особливості зарубіжного та історичного досвіду розвитку дослідницького навчання у шкільній географії;</w:t>
      </w:r>
    </w:p>
    <w:p w14:paraId="6F03CDB7"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дослідити рівень сформованості географічних компетентностей учнів основної школи;</w:t>
      </w:r>
    </w:p>
    <w:p w14:paraId="7FF7CD54"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проаналізувати освітнє середовище та ресурсне забезпечення реалізації дослідницького підходу;</w:t>
      </w:r>
    </w:p>
    <w:p w14:paraId="608D066D"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встановити педагогічні умови та чинники ефективності формування географічних компетентностей;</w:t>
      </w:r>
    </w:p>
    <w:p w14:paraId="1D3C67A1"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lastRenderedPageBreak/>
        <w:t>– розробити модель формування географічних компетентностей учнів засобами дослідницької діяльності;</w:t>
      </w:r>
    </w:p>
    <w:p w14:paraId="316051C6"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висвітлити методичний інструментарій реалізації дослідницького підходу у курсі географії 5</w:t>
      </w:r>
      <w:r>
        <w:rPr>
          <w:rFonts w:ascii="Times New Roman" w:hAnsi="Times New Roman" w:cs="Times New Roman"/>
          <w:sz w:val="28"/>
          <w:szCs w:val="28"/>
          <w:lang w:val="uk-UA"/>
        </w:rPr>
        <w:t>-</w:t>
      </w:r>
      <w:r w:rsidRPr="001A34D1">
        <w:rPr>
          <w:rFonts w:ascii="Times New Roman" w:hAnsi="Times New Roman" w:cs="Times New Roman"/>
          <w:sz w:val="28"/>
          <w:szCs w:val="28"/>
          <w:lang w:val="uk-UA"/>
        </w:rPr>
        <w:t>9 класів;</w:t>
      </w:r>
    </w:p>
    <w:p w14:paraId="572DDAF1"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 обґрунтувати критерії, показники та рівні сформованості географічних компетентностей учнів.</w:t>
      </w:r>
    </w:p>
    <w:p w14:paraId="15352A5E"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Об’єктом дослідження є процес навчання географії в основній школі.</w:t>
      </w:r>
    </w:p>
    <w:p w14:paraId="33A71152" w14:textId="77777777" w:rsidR="004D658F" w:rsidRPr="001A34D1"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Предметом дослідження є методичні засади реалізації дослідницького підходу у формуванні географічних компетентностей учнів основної школи.</w:t>
      </w:r>
    </w:p>
    <w:p w14:paraId="6A2930E9" w14:textId="77777777" w:rsidR="004D658F" w:rsidRDefault="004D658F" w:rsidP="004D658F">
      <w:pPr>
        <w:spacing w:after="0" w:line="360" w:lineRule="auto"/>
        <w:ind w:firstLine="709"/>
        <w:jc w:val="both"/>
        <w:rPr>
          <w:rFonts w:ascii="Times New Roman" w:hAnsi="Times New Roman" w:cs="Times New Roman"/>
          <w:sz w:val="28"/>
          <w:szCs w:val="28"/>
          <w:lang w:val="uk-UA"/>
        </w:rPr>
      </w:pPr>
      <w:r w:rsidRPr="001A34D1">
        <w:rPr>
          <w:rFonts w:ascii="Times New Roman" w:hAnsi="Times New Roman" w:cs="Times New Roman"/>
          <w:sz w:val="28"/>
          <w:szCs w:val="28"/>
          <w:lang w:val="uk-UA"/>
        </w:rPr>
        <w:t>Методологічну основу дослідження становлять положення компетентнісного, діяльнісного та особистісно орієнтованого підходів до навчання; теорії розвитку пізнавальної активності учнів; концепції дослідницького навчання. У роботі використано такі методи дослідження: теоретичні (аналіз, синтез, узагальнення наукових джерел), емпіричні (спостереження, анкетування, тестування, педагогічний експеримент), а також методи кількісного та якісного аналізу результатів. Теоретико-методологічною основою слугували праці вітчизняних і зарубіжних учених у галузі педагогіки, методики навчання географії та компетентнісного підходу.</w:t>
      </w:r>
    </w:p>
    <w:p w14:paraId="04DE369D" w14:textId="2B8D635A" w:rsidR="004D658F" w:rsidRPr="004D658F" w:rsidRDefault="004D658F" w:rsidP="004D658F">
      <w:pPr>
        <w:spacing w:after="0" w:line="360" w:lineRule="auto"/>
        <w:ind w:firstLine="709"/>
        <w:jc w:val="both"/>
        <w:rPr>
          <w:rFonts w:ascii="Times New Roman" w:hAnsi="Times New Roman" w:cs="Times New Roman"/>
          <w:sz w:val="28"/>
          <w:szCs w:val="28"/>
          <w:lang w:val="uk-UA"/>
        </w:rPr>
      </w:pPr>
      <w:r w:rsidRPr="004D658F">
        <w:rPr>
          <w:rFonts w:ascii="Times New Roman" w:hAnsi="Times New Roman" w:cs="Times New Roman"/>
          <w:sz w:val="28"/>
          <w:szCs w:val="28"/>
          <w:lang w:val="uk-UA"/>
        </w:rPr>
        <w:t>Структура кваліфікаційної роботи зумовлена логікою дослідження і складається зі вступу, трьох розділів, висновків, списку використаних джерел та додатків. Основний зміст роботи викладено на 115 сторінках. Робота містить 3 рисунки, 1 таблицю. Список використаних джерел налічує 99 найменувань.</w:t>
      </w:r>
    </w:p>
    <w:p w14:paraId="021C4CB0" w14:textId="77777777" w:rsidR="004D658F" w:rsidRDefault="004D658F" w:rsidP="004D658F">
      <w:pPr>
        <w:spacing w:after="0" w:line="360" w:lineRule="auto"/>
        <w:jc w:val="center"/>
        <w:rPr>
          <w:rFonts w:ascii="Times New Roman" w:hAnsi="Times New Roman" w:cs="Times New Roman"/>
          <w:b/>
          <w:bCs/>
          <w:sz w:val="28"/>
          <w:szCs w:val="28"/>
          <w:lang w:val="uk-UA"/>
        </w:rPr>
      </w:pPr>
    </w:p>
    <w:p w14:paraId="066E5BEF" w14:textId="77777777" w:rsidR="004D658F" w:rsidRDefault="004D658F" w:rsidP="004D658F">
      <w:pPr>
        <w:spacing w:after="0" w:line="360" w:lineRule="auto"/>
        <w:jc w:val="center"/>
        <w:rPr>
          <w:rFonts w:ascii="Times New Roman" w:hAnsi="Times New Roman" w:cs="Times New Roman"/>
          <w:b/>
          <w:bCs/>
          <w:sz w:val="28"/>
          <w:szCs w:val="28"/>
          <w:lang w:val="uk-UA"/>
        </w:rPr>
      </w:pPr>
    </w:p>
    <w:p w14:paraId="1B89329C" w14:textId="77777777" w:rsidR="004D658F" w:rsidRDefault="004D658F" w:rsidP="004D658F">
      <w:pPr>
        <w:spacing w:after="0" w:line="360" w:lineRule="auto"/>
        <w:jc w:val="center"/>
        <w:rPr>
          <w:rFonts w:ascii="Times New Roman" w:hAnsi="Times New Roman" w:cs="Times New Roman"/>
          <w:b/>
          <w:bCs/>
          <w:sz w:val="28"/>
          <w:szCs w:val="28"/>
          <w:lang w:val="uk-UA"/>
        </w:rPr>
      </w:pPr>
    </w:p>
    <w:p w14:paraId="0C9F1D40" w14:textId="77777777" w:rsidR="004D658F" w:rsidRDefault="004D658F" w:rsidP="004D658F">
      <w:pPr>
        <w:spacing w:after="0" w:line="360" w:lineRule="auto"/>
        <w:jc w:val="center"/>
        <w:rPr>
          <w:rFonts w:ascii="Times New Roman" w:hAnsi="Times New Roman" w:cs="Times New Roman"/>
          <w:b/>
          <w:bCs/>
          <w:sz w:val="28"/>
          <w:szCs w:val="28"/>
          <w:lang w:val="uk-UA"/>
        </w:rPr>
      </w:pPr>
    </w:p>
    <w:p w14:paraId="470447B0" w14:textId="494643D8" w:rsidR="004D658F" w:rsidRDefault="004D658F" w:rsidP="004D658F">
      <w:pPr>
        <w:spacing w:after="0" w:line="360" w:lineRule="auto"/>
        <w:jc w:val="center"/>
        <w:rPr>
          <w:rFonts w:ascii="Times New Roman" w:hAnsi="Times New Roman" w:cs="Times New Roman"/>
          <w:b/>
          <w:bCs/>
          <w:sz w:val="28"/>
          <w:szCs w:val="28"/>
          <w:lang w:val="uk-UA"/>
        </w:rPr>
      </w:pPr>
    </w:p>
    <w:p w14:paraId="27A59035" w14:textId="77777777" w:rsidR="004D658F" w:rsidRDefault="004D658F" w:rsidP="004D658F">
      <w:pPr>
        <w:spacing w:after="0" w:line="360" w:lineRule="auto"/>
        <w:jc w:val="center"/>
        <w:rPr>
          <w:rFonts w:ascii="Times New Roman" w:hAnsi="Times New Roman" w:cs="Times New Roman"/>
          <w:b/>
          <w:bCs/>
          <w:sz w:val="28"/>
          <w:szCs w:val="28"/>
          <w:lang w:val="uk-UA"/>
        </w:rPr>
      </w:pPr>
    </w:p>
    <w:p w14:paraId="3005C830" w14:textId="77777777" w:rsidR="004D658F" w:rsidRDefault="004D658F" w:rsidP="004D658F">
      <w:pPr>
        <w:spacing w:after="0" w:line="360" w:lineRule="auto"/>
        <w:jc w:val="center"/>
        <w:rPr>
          <w:rFonts w:ascii="Times New Roman" w:hAnsi="Times New Roman" w:cs="Times New Roman"/>
          <w:b/>
          <w:bCs/>
          <w:sz w:val="28"/>
          <w:szCs w:val="28"/>
          <w:lang w:val="uk-UA"/>
        </w:rPr>
      </w:pPr>
    </w:p>
    <w:p w14:paraId="56B4F569" w14:textId="0A3F0DEC" w:rsidR="004D658F" w:rsidRPr="00AA17A4" w:rsidRDefault="004D658F" w:rsidP="004D658F">
      <w:pPr>
        <w:spacing w:after="0" w:line="360" w:lineRule="auto"/>
        <w:jc w:val="center"/>
        <w:rPr>
          <w:rFonts w:ascii="Times New Roman" w:hAnsi="Times New Roman" w:cs="Times New Roman"/>
          <w:b/>
          <w:bCs/>
          <w:sz w:val="28"/>
          <w:szCs w:val="28"/>
          <w:lang w:val="uk-UA"/>
        </w:rPr>
      </w:pPr>
      <w:r w:rsidRPr="00AA17A4">
        <w:rPr>
          <w:rFonts w:ascii="Times New Roman" w:hAnsi="Times New Roman" w:cs="Times New Roman"/>
          <w:b/>
          <w:bCs/>
          <w:sz w:val="28"/>
          <w:szCs w:val="28"/>
          <w:lang w:val="uk-UA"/>
        </w:rPr>
        <w:lastRenderedPageBreak/>
        <w:t>РОЗДІЛ 1. ТЕОРЕТИКО-МЕТОДОЛОГІЧНІ ЗАСАДИ ДОСЛІДНИЦЬКОГО ПІДХОДУ У НАВЧАННІ ГЕОГРАФІЇ</w:t>
      </w:r>
    </w:p>
    <w:p w14:paraId="7737A059" w14:textId="50746C81" w:rsidR="004D658F" w:rsidRDefault="004D658F" w:rsidP="004D658F">
      <w:pPr>
        <w:spacing w:after="0" w:line="360" w:lineRule="auto"/>
        <w:jc w:val="center"/>
        <w:rPr>
          <w:rFonts w:ascii="Times New Roman" w:hAnsi="Times New Roman" w:cs="Times New Roman"/>
          <w:b/>
          <w:bCs/>
          <w:sz w:val="28"/>
          <w:szCs w:val="28"/>
          <w:lang w:val="uk-UA"/>
        </w:rPr>
      </w:pPr>
    </w:p>
    <w:p w14:paraId="1D73721F" w14:textId="77777777" w:rsidR="004D658F" w:rsidRPr="00AA17A4" w:rsidRDefault="004D658F" w:rsidP="004D658F">
      <w:pPr>
        <w:spacing w:after="0" w:line="360" w:lineRule="auto"/>
        <w:jc w:val="center"/>
        <w:rPr>
          <w:rFonts w:ascii="Times New Roman" w:hAnsi="Times New Roman" w:cs="Times New Roman"/>
          <w:b/>
          <w:bCs/>
          <w:sz w:val="28"/>
          <w:szCs w:val="28"/>
          <w:lang w:val="uk-UA"/>
        </w:rPr>
      </w:pPr>
    </w:p>
    <w:p w14:paraId="2C0F630E" w14:textId="77777777" w:rsidR="004D658F" w:rsidRPr="00AA17A4" w:rsidRDefault="004D658F" w:rsidP="004D658F">
      <w:pPr>
        <w:spacing w:after="0" w:line="360" w:lineRule="auto"/>
        <w:jc w:val="center"/>
        <w:rPr>
          <w:rFonts w:ascii="Times New Roman" w:hAnsi="Times New Roman" w:cs="Times New Roman"/>
          <w:b/>
          <w:bCs/>
          <w:sz w:val="28"/>
          <w:szCs w:val="28"/>
          <w:lang w:val="uk-UA"/>
        </w:rPr>
      </w:pPr>
      <w:r w:rsidRPr="00AA17A4">
        <w:rPr>
          <w:rFonts w:ascii="Times New Roman" w:hAnsi="Times New Roman" w:cs="Times New Roman"/>
          <w:b/>
          <w:bCs/>
          <w:sz w:val="28"/>
          <w:szCs w:val="28"/>
          <w:lang w:val="uk-UA"/>
        </w:rPr>
        <w:t>1.1. Сутність дослідницького підходу в педагогіці та його роль у формуванні компетентностей учнів</w:t>
      </w:r>
    </w:p>
    <w:p w14:paraId="6557D924" w14:textId="77777777" w:rsidR="004D658F" w:rsidRPr="00AA17A4" w:rsidRDefault="004D658F" w:rsidP="004D658F">
      <w:pPr>
        <w:spacing w:after="0" w:line="360" w:lineRule="auto"/>
        <w:rPr>
          <w:rFonts w:ascii="Times New Roman" w:hAnsi="Times New Roman" w:cs="Times New Roman"/>
          <w:b/>
          <w:bCs/>
          <w:sz w:val="28"/>
          <w:szCs w:val="28"/>
          <w:lang w:val="uk-UA"/>
        </w:rPr>
      </w:pPr>
    </w:p>
    <w:p w14:paraId="763217BC"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Переорієнтація сучасної освіти з моделі трансляції готового знання на модель формування здатності діяти в складних, змінних та проблемних ситуаціях закономірно актуалізувала дослідницький підхід як одну з базових дидактичних стратегій [98]. У межах компетентнісної парадигми результатом навчання вважається не механічно засвоєний зміст, а інтегрована здатність учня застосовувати знання, уміння, способи мислення, ціннісні орієнтації та досвід для розв’язання реальних навчальних і життєвих завдань [93]. Саме тому дослідницький підхід набуває особливого значення: він переводить учня з позиції споживача інформації в позицію суб’єкта пізнання, який ставить запитання, висуває припущення, перевіряє їх, інтерпретує результати й обґрунтовує висновки [10]. У цьому аспекті дослідницький підхід не є лише методичною новацією; він становить внутрішню логіку компетентнісно зорієнтованого навчання, оскільки забезпечує з’єднання знання з діяльністю, а діяльності – з рефлексією та відповідальністю за результат пізнання. </w:t>
      </w:r>
    </w:p>
    <w:p w14:paraId="7AC58972"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Історико-філософські витоки дослідницького підходу в педагогіці тісно пов’язані з прагматистською й інструменталістською традицією Джона Дьюї, який розглядав освіту не як накопичення відомостей, а як організацію досвіду, що сприяє розвитку рефлексивного мислення. У праці «</w:t>
      </w:r>
      <w:r w:rsidRPr="00AA17A4">
        <w:rPr>
          <w:rFonts w:ascii="Times New Roman" w:hAnsi="Times New Roman" w:cs="Times New Roman"/>
          <w:i/>
          <w:iCs/>
          <w:sz w:val="28"/>
          <w:szCs w:val="28"/>
          <w:lang w:val="uk-UA"/>
        </w:rPr>
        <w:t>How We Think</w:t>
      </w:r>
      <w:r w:rsidRPr="00AA17A4">
        <w:rPr>
          <w:rFonts w:ascii="Times New Roman" w:hAnsi="Times New Roman" w:cs="Times New Roman"/>
          <w:sz w:val="28"/>
          <w:szCs w:val="28"/>
          <w:lang w:val="uk-UA"/>
        </w:rPr>
        <w:t xml:space="preserve">» він обґрунтовував, що справді освітню цінність має не випадковий плин уявлень, а «рефлексивне мислення», тобто активне, послідовне й уважне розглядання підстав судження та його наслідків [24]. Для Дьюї наукова установка не протиставлялася дитячій природі, а, навпаки, виростала з природної допитливості, потреби з’ясувати незрозуміле й перевірити припущення в дії. </w:t>
      </w:r>
      <w:r w:rsidRPr="00AA17A4">
        <w:rPr>
          <w:rFonts w:ascii="Times New Roman" w:hAnsi="Times New Roman" w:cs="Times New Roman"/>
          <w:sz w:val="28"/>
          <w:szCs w:val="28"/>
          <w:lang w:val="uk-UA"/>
        </w:rPr>
        <w:lastRenderedPageBreak/>
        <w:t>Звідси походить надзвичайно важлива для педагогіки теза: навчання стає розвивальним тоді, коли учень не лише отримує відповідь, а проходить шлях її народження – від подиву й проблематизації до обґрунтованого висновку. У цій логіці дослідницький підхід слід розуміти як педагогічне впорядкування процесу мислення, а не як випадкове залучення окремих «цікавих завдань».</w:t>
      </w:r>
    </w:p>
    <w:p w14:paraId="0736C7E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Подальший розвиток цієї ідеї у педагогічній теорії дістав системне оформлення в концепціях </w:t>
      </w:r>
      <w:r w:rsidRPr="00AA17A4">
        <w:rPr>
          <w:rFonts w:ascii="Times New Roman" w:hAnsi="Times New Roman" w:cs="Times New Roman"/>
          <w:i/>
          <w:iCs/>
          <w:sz w:val="28"/>
          <w:szCs w:val="28"/>
          <w:lang w:val="uk-UA"/>
        </w:rPr>
        <w:t>inquiry-based learning</w:t>
      </w:r>
      <w:r w:rsidRPr="00AA17A4">
        <w:rPr>
          <w:rFonts w:ascii="Times New Roman" w:hAnsi="Times New Roman" w:cs="Times New Roman"/>
          <w:sz w:val="28"/>
          <w:szCs w:val="28"/>
          <w:lang w:val="uk-UA"/>
        </w:rPr>
        <w:t xml:space="preserve">, де дослідження трактується не як факультативний додаток до «основного» навчання, а як спосіб опанування змісту. Національна дослідницька рада США у виданні «Inquiry and the National Science Education Standards» виокремила дві взаємопов’язані площини поняття inquiry: по-перше, це сукупність здібностей, потрібних для здійснення дослідження; по-друге, це спосіб викладання і навчання, за якого наукові поняття, процедури та уявлення про природу знання засвоюються через організоване дослідження [26]. Ця двоїстість є методологічно принциповою. Вона означає, що дослідницький підхід у школі має спрямовуватися не лише на формування процедурних умінь, а й на засвоєння учнями того, як створюється, перевіряється та обговорюється знання. Відтак його суть полягає у відтворенні в освітньому середовищі не повної наукової діяльності в її професійному вигляді, а доступної для школяра логіки пошуку, перевірки та аргументації. </w:t>
      </w:r>
    </w:p>
    <w:p w14:paraId="5B9F117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У сучасній міжнародній дидактиці дослідницький підхід дістав чіткіші структурні характеристики. М. Pedaste та співавтори на підставі синтезу наукових досліджень виокремили п’ять загальних фаз </w:t>
      </w:r>
      <w:r w:rsidRPr="00AA17A4">
        <w:rPr>
          <w:rFonts w:ascii="Times New Roman" w:hAnsi="Times New Roman" w:cs="Times New Roman"/>
          <w:i/>
          <w:iCs/>
          <w:sz w:val="28"/>
          <w:szCs w:val="28"/>
          <w:lang w:val="uk-UA"/>
        </w:rPr>
        <w:t>inquiry-based learning</w:t>
      </w:r>
      <w:r w:rsidRPr="00AA17A4">
        <w:rPr>
          <w:rFonts w:ascii="Times New Roman" w:hAnsi="Times New Roman" w:cs="Times New Roman"/>
          <w:sz w:val="28"/>
          <w:szCs w:val="28"/>
          <w:lang w:val="uk-UA"/>
        </w:rPr>
        <w:t xml:space="preserve"> – орієнтацію, концептуалізацію, дослідження, висновок і обговорення – та показали, що вони можуть комбінуватися в гнучкі освітні траєкторії залежно від віку учнів, змісту навчання й ступеня педагогічної підтримки [41]. Водночас R. Bell, L. Smetana та I. Binns наголошують на практичній необхідності розрізняти рівні дослідницькості навчальних завдань і мати чіткі критерії, за якими вчитель може визначити, наскільки діяльність справді є дослідницькою </w:t>
      </w:r>
      <w:r w:rsidRPr="004D658F">
        <w:rPr>
          <w:rFonts w:ascii="Times New Roman" w:hAnsi="Times New Roman" w:cs="Times New Roman"/>
          <w:sz w:val="28"/>
          <w:szCs w:val="28"/>
          <w:lang w:val="uk-UA"/>
        </w:rPr>
        <w:t>[</w:t>
      </w:r>
      <w:r w:rsidRPr="00AA17A4">
        <w:rPr>
          <w:rFonts w:ascii="Times New Roman" w:hAnsi="Times New Roman" w:cs="Times New Roman"/>
          <w:sz w:val="28"/>
          <w:szCs w:val="28"/>
          <w:lang w:val="uk-UA"/>
        </w:rPr>
        <w:t>5</w:t>
      </w:r>
      <w:r w:rsidRPr="004D658F">
        <w:rPr>
          <w:rFonts w:ascii="Times New Roman" w:hAnsi="Times New Roman" w:cs="Times New Roman"/>
          <w:sz w:val="28"/>
          <w:szCs w:val="28"/>
          <w:lang w:val="uk-UA"/>
        </w:rPr>
        <w:t>]</w:t>
      </w:r>
      <w:r w:rsidRPr="00AA17A4">
        <w:rPr>
          <w:rFonts w:ascii="Times New Roman" w:hAnsi="Times New Roman" w:cs="Times New Roman"/>
          <w:sz w:val="28"/>
          <w:szCs w:val="28"/>
          <w:lang w:val="uk-UA"/>
        </w:rPr>
        <w:t xml:space="preserve">. Отже, дослідницький підхід у сучасному науковому розумінні не зводиться до романтизованого уявлення про «вільний пошук»; він передбачає структуровану, </w:t>
      </w:r>
      <w:r w:rsidRPr="00AA17A4">
        <w:rPr>
          <w:rFonts w:ascii="Times New Roman" w:hAnsi="Times New Roman" w:cs="Times New Roman"/>
          <w:sz w:val="28"/>
          <w:szCs w:val="28"/>
          <w:lang w:val="uk-UA"/>
        </w:rPr>
        <w:lastRenderedPageBreak/>
        <w:t xml:space="preserve">дидактично спроєктовану взаємодію між проблемою, інструментами її дослідження, даними, інтерпретацією та комунікацією результатів. </w:t>
      </w:r>
    </w:p>
    <w:p w14:paraId="006E502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В українській педагогічній науці зміст дослідницького підходу розкривається через близькі, але не тотожні поняття: «дослідницька діяльність учнів», «навчально-дослідницька діяльність», «дослідницьке навчання», «дослідницька компетентність». У працях, присвячених викладанню української мови, історії, фізики та використанню комп’ютерно орієнтованих засобів навчання, дослідницький компонент постає як механізм активізації пізнавальної діяльності, переходу від репродукції до самостійного аналізу явищ і вироблення висновків [80; 71]. Для мовної освіти це означає дослідження мовних фактів і закономірностей; для історичної – роботу з джерелами, питаннями та версіями; для природничої – спостереження, експериментування, моделювання; для цифрового навчального середовища – роботу з даними, візуалізаціями, електронними ресурсами та інструментами аналізу [97]. Така варіативність свідчить, що дослідницький підхід у вітчизняній педагогіці має міжпредметний статус і розглядається як загальнодидактична стратегія, а не лише як спеціальний прийом окремих дисциплін. </w:t>
      </w:r>
    </w:p>
    <w:p w14:paraId="230507E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Узагальнення міжнародних і українських підходів дає підстави визначити дослідницький підхід у педагогіці як цілісну організацію освітнього процесу, за якої засвоєння змісту відбувається через постановку пізнавально значущої проблеми, висунення припущень, добір способів перевірки, отримання та інтерпретацію даних, формулювання висновків і їхню рефлексивну оцінку. Його предметом є не лише результат, а й логіка розумової дії, яка веде до результату. Саме тому дослідницький підхід виходить за межі окремого методу: він впливає на відбір змісту, тип навчальних завдань, форми взаємодії, роль учителя, характер оцінювання та способи репрезентації знання. На рівні освітньої практики це означає зміщення акценту з відтворення готових правил до роботи з питаннями, невизначеністю, доказами та аргументами; на рівні педагогічної теорії – переосмислення навчання як керованого входження учня в культуру наукового і критичного мислення. </w:t>
      </w:r>
    </w:p>
    <w:p w14:paraId="130C59A6"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lastRenderedPageBreak/>
        <w:t xml:space="preserve">Водночас наукова дискусія переконливо показує, що дослідницький підхід не можна ототожнювати з мінімально керованим або зовсім некерованим «відкриттям». R. Mayer, аналізуючи історію дискусій про </w:t>
      </w:r>
      <w:r w:rsidRPr="00AA17A4">
        <w:rPr>
          <w:rFonts w:ascii="Times New Roman" w:hAnsi="Times New Roman" w:cs="Times New Roman"/>
          <w:i/>
          <w:iCs/>
          <w:sz w:val="28"/>
          <w:szCs w:val="28"/>
          <w:lang w:val="uk-UA"/>
        </w:rPr>
        <w:t>discovery learning</w:t>
      </w:r>
      <w:r w:rsidRPr="00AA17A4">
        <w:rPr>
          <w:rFonts w:ascii="Times New Roman" w:hAnsi="Times New Roman" w:cs="Times New Roman"/>
          <w:sz w:val="28"/>
          <w:szCs w:val="28"/>
          <w:lang w:val="uk-UA"/>
        </w:rPr>
        <w:t xml:space="preserve">, доводив, що суто спонтанне «відкриття» поступається керованим формам пізнавальної активності [33]. P. Kirschner, J. Sweller та R. Clark також критикували мінімальне інструктування, підкреслюючи обмеження когнітивної архітектури новачків [28]. У відповідь C. Hmelo-Silver, R. Duncan та C. Chinn аргументовано показали, що </w:t>
      </w:r>
      <w:r w:rsidRPr="00AA17A4">
        <w:rPr>
          <w:rFonts w:ascii="Times New Roman" w:hAnsi="Times New Roman" w:cs="Times New Roman"/>
          <w:i/>
          <w:iCs/>
          <w:sz w:val="28"/>
          <w:szCs w:val="28"/>
          <w:lang w:val="uk-UA"/>
        </w:rPr>
        <w:t>inquiry learning</w:t>
      </w:r>
      <w:r w:rsidRPr="00AA17A4">
        <w:rPr>
          <w:rFonts w:ascii="Times New Roman" w:hAnsi="Times New Roman" w:cs="Times New Roman"/>
          <w:sz w:val="28"/>
          <w:szCs w:val="28"/>
          <w:lang w:val="uk-UA"/>
        </w:rPr>
        <w:t xml:space="preserve"> і </w:t>
      </w:r>
      <w:r w:rsidRPr="00AA17A4">
        <w:rPr>
          <w:rFonts w:ascii="Times New Roman" w:hAnsi="Times New Roman" w:cs="Times New Roman"/>
          <w:i/>
          <w:iCs/>
          <w:sz w:val="28"/>
          <w:szCs w:val="28"/>
          <w:lang w:val="uk-UA"/>
        </w:rPr>
        <w:t>problem-based learning</w:t>
      </w:r>
      <w:r w:rsidRPr="00AA17A4">
        <w:rPr>
          <w:rFonts w:ascii="Times New Roman" w:hAnsi="Times New Roman" w:cs="Times New Roman"/>
          <w:sz w:val="28"/>
          <w:szCs w:val="28"/>
          <w:lang w:val="uk-UA"/>
        </w:rPr>
        <w:t xml:space="preserve"> не є «чистим відкриттям», оскільки передбачають суттєве педагогічне </w:t>
      </w:r>
      <w:r w:rsidRPr="00AA17A4">
        <w:rPr>
          <w:rFonts w:ascii="Times New Roman" w:hAnsi="Times New Roman" w:cs="Times New Roman"/>
          <w:i/>
          <w:iCs/>
          <w:sz w:val="28"/>
          <w:szCs w:val="28"/>
          <w:lang w:val="uk-UA"/>
        </w:rPr>
        <w:t>scaffolded support</w:t>
      </w:r>
      <w:r w:rsidRPr="00AA17A4">
        <w:rPr>
          <w:rFonts w:ascii="Times New Roman" w:hAnsi="Times New Roman" w:cs="Times New Roman"/>
          <w:sz w:val="28"/>
          <w:szCs w:val="28"/>
          <w:lang w:val="uk-UA"/>
        </w:rPr>
        <w:t xml:space="preserve"> – систему опор, яка знижує когнітивне перевантаження та забезпечує просування учнів у складному змісті [23]. Отже, дослідницький підхід у педагогіці слід розглядати як модель керованої пізнавальної самостійності: учень справді виступає суб’єктом пошуку, але цей пошук є дидактично сконструйованим, методично забезпеченим і педагогічно підтриманим. </w:t>
      </w:r>
    </w:p>
    <w:p w14:paraId="5BD7ED89"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Структурно дослідницький підхід починається з фази орієнтації та проблематизації. Її педагогічний сенс полягає у створенні ситуації інтелектуальної напруги, коли наявних знань учня вже недостатньо для пояснення факту, явища чи суперечності, але вони достатні для висунення первинних припущень [8</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 xml:space="preserve">. Саме тут виникає навчально продуктивне запитання, без якого дослідження перетворюється на формальне виконання вказівок. Розробники моделі </w:t>
      </w:r>
      <w:r w:rsidRPr="00AA17A4">
        <w:rPr>
          <w:rFonts w:ascii="Times New Roman" w:hAnsi="Times New Roman" w:cs="Times New Roman"/>
          <w:i/>
          <w:iCs/>
          <w:sz w:val="28"/>
          <w:szCs w:val="28"/>
          <w:lang w:val="uk-UA"/>
        </w:rPr>
        <w:t>BSCS 5E</w:t>
      </w:r>
      <w:r w:rsidRPr="00AA17A4">
        <w:rPr>
          <w:rFonts w:ascii="Times New Roman" w:hAnsi="Times New Roman" w:cs="Times New Roman"/>
          <w:sz w:val="28"/>
          <w:szCs w:val="28"/>
          <w:lang w:val="uk-UA"/>
        </w:rPr>
        <w:t xml:space="preserve">, спираючись на попередні дидактичні цикли, показують історичну спадкоємність від дьюїстської логіки «перплексії – уточнення проблеми – гіпотези – перевірки – дії на основі розв’язку» до сучасних фаз </w:t>
      </w:r>
      <w:r w:rsidRPr="00AA17A4">
        <w:rPr>
          <w:rFonts w:ascii="Times New Roman" w:hAnsi="Times New Roman" w:cs="Times New Roman"/>
          <w:i/>
          <w:iCs/>
          <w:sz w:val="28"/>
          <w:szCs w:val="28"/>
          <w:lang w:val="uk-UA"/>
        </w:rPr>
        <w:t>engagement, exploration, explanation, elaboration, evaluation</w:t>
      </w:r>
      <w:r w:rsidRPr="00AA17A4">
        <w:rPr>
          <w:rFonts w:ascii="Times New Roman" w:hAnsi="Times New Roman" w:cs="Times New Roman"/>
          <w:sz w:val="28"/>
          <w:szCs w:val="28"/>
          <w:lang w:val="uk-UA"/>
        </w:rPr>
        <w:t xml:space="preserve"> [55]. У шкільній практиці це означає, що першим кроком дослідницького навчання має бути не повідомлення «правильної» відповіді й навіть не інструкція до дії, а постановка такого завдання, яке запускає потребу в осмисленому запитуванні.</w:t>
      </w:r>
    </w:p>
    <w:p w14:paraId="05C09A1F"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Наступні фази пов’язані з концептуалізацією, плануванням і власне дослідницькою дією. У моделі Pedaste та співавторів концептуалізація охоплює постановку запитань і генерування гіпотез, а фаза </w:t>
      </w:r>
      <w:r w:rsidRPr="00AA17A4">
        <w:rPr>
          <w:rFonts w:ascii="Times New Roman" w:hAnsi="Times New Roman" w:cs="Times New Roman"/>
          <w:i/>
          <w:iCs/>
          <w:sz w:val="28"/>
          <w:szCs w:val="28"/>
          <w:lang w:val="uk-UA"/>
        </w:rPr>
        <w:t>investigation</w:t>
      </w:r>
      <w:r w:rsidRPr="00AA17A4">
        <w:rPr>
          <w:rFonts w:ascii="Times New Roman" w:hAnsi="Times New Roman" w:cs="Times New Roman"/>
          <w:sz w:val="28"/>
          <w:szCs w:val="28"/>
          <w:lang w:val="uk-UA"/>
        </w:rPr>
        <w:t xml:space="preserve"> включає </w:t>
      </w:r>
      <w:r w:rsidRPr="00AA17A4">
        <w:rPr>
          <w:rFonts w:ascii="Times New Roman" w:hAnsi="Times New Roman" w:cs="Times New Roman"/>
          <w:sz w:val="28"/>
          <w:szCs w:val="28"/>
          <w:lang w:val="uk-UA"/>
        </w:rPr>
        <w:lastRenderedPageBreak/>
        <w:t>дослідження, експериментування та інтерпретацію даних. Завершується цикл формулюванням висновку й обговоренням, яке охоплює не тільки презентацію результатів, а й рефлексію щодо самого процесу пошуку [41]. Педагогічна цінність цієї послідовності полягає в тому, що вона поєднує інтелектуальні, процедурні та комунікативні дії в єдиному контурі навчання. Учень не просто «виконує дослід», а навчається ставити питання до об’єкта, зіставляти припущення з даними, усвідомлювати межі власного висновку, коригувати позицію під впливом аргументів. Саме ця цілісність і є маркером справжнього дослідницького підходу, на відміну від епізодичного використання окремих лабораторних або пошукових елементів.</w:t>
      </w:r>
    </w:p>
    <w:p w14:paraId="48E53DED"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На рівні принципів дослідницький підхід спирається на проблемність, доказовість, активну суб’єктність учня, опору на попередній досвід, діалогічність та рефлексивність. Проблемність означає, що навчання розгортається навколо змістовно значущого питання, а не навколо серії відокремлених вправ. Доказовість вимагає, щоб судження обґрунтовувалися даними, спостереженнями, текстами, моделями, а не авторитетом чи звичкою. Суб’єктність пов’язана з реальним включенням учня у вибір стратегій дослідження, а не лише у виконання вже готового алгоритму. Діалогічність і рефлексивність передбачають, що знання розгортається в комунікації, порівнянні позицій, корекції помилок і усвідомленні власного способу мислення [12]. У ширшому компетентнісному контексті це корелює з ідеями OECD про </w:t>
      </w:r>
      <w:r w:rsidRPr="00AA17A4">
        <w:rPr>
          <w:rFonts w:ascii="Times New Roman" w:hAnsi="Times New Roman" w:cs="Times New Roman"/>
          <w:i/>
          <w:iCs/>
          <w:sz w:val="28"/>
          <w:szCs w:val="28"/>
          <w:lang w:val="uk-UA"/>
        </w:rPr>
        <w:t>student agency</w:t>
      </w:r>
      <w:r w:rsidRPr="00AA17A4">
        <w:rPr>
          <w:rFonts w:ascii="Times New Roman" w:hAnsi="Times New Roman" w:cs="Times New Roman"/>
          <w:sz w:val="28"/>
          <w:szCs w:val="28"/>
          <w:lang w:val="uk-UA"/>
        </w:rPr>
        <w:t xml:space="preserve"> та з концепцією DeSeCo, де ключові компетентності охоплюють уміння користуватися інструментами, діяти автономно та взаємодіяти в соціально неоднорідних групах [16]. </w:t>
      </w:r>
    </w:p>
    <w:p w14:paraId="1D857C7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Функціонально дослідницький підхід виконує в освітньому процесі щонайменше п’ять взаємопов’язаних ролей. По-перше, пізнавальну, оскільки забезпечує глибше розуміння змісту через включення учня в операції аналізу, зіставлення, узагальнення й перевірки. По-друге, розвивальну, бо формує інтелектуальні якості, пов’язані з рефлексивністю, самоконтролем та гнучкістю мислення. По-третє, мотиваційну, адже включення в пошук робить навчальний </w:t>
      </w:r>
      <w:r w:rsidRPr="00AA17A4">
        <w:rPr>
          <w:rFonts w:ascii="Times New Roman" w:hAnsi="Times New Roman" w:cs="Times New Roman"/>
          <w:sz w:val="28"/>
          <w:szCs w:val="28"/>
          <w:lang w:val="uk-UA"/>
        </w:rPr>
        <w:lastRenderedPageBreak/>
        <w:t>зміст проблемно й особистісно значущим. По-четверте, світоглядну й аксіологічну, оскільки через дослідницький спосіб роботи учень засвоює цінність доказу, доброчесності, відкритості до перевірки та корекції власної думки. По-п’яте, соціалізаційну, бо дослідження в освітньому контексті майже завжди передбачає співпрацю, взаємооцінювання та публічне представлення результату. Сукупність цих функцій пояснює, чому дослідницький підхід не обмежується формуванням окремих умінь, а впливає на цілісну структуру особистісного розвитку учня [99].</w:t>
      </w:r>
    </w:p>
    <w:p w14:paraId="250408F8"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Ефективність реалізації дослідницького підходу безпосередньо залежить від низки педагогічних умов. Насамперед йдеться про організацію навчального середовища, яке має бути інформаційно насиченим, відкритим до експериментування, варіативним за ресурсами та сприятливим для самостійної пошукової діяльності учнів [74]. Не менш важливою є дослідницька компетентність самого вчителя, оскільки він має не тільки знати предмет, а й володіти вмінням проєктувати проблемні ситуації, добирати інструменти пошуку, прогнозувати труднощі, здійснювати своєчасне </w:t>
      </w:r>
      <w:r w:rsidRPr="00AA17A4">
        <w:rPr>
          <w:rFonts w:ascii="Times New Roman" w:hAnsi="Times New Roman" w:cs="Times New Roman"/>
          <w:i/>
          <w:iCs/>
          <w:sz w:val="28"/>
          <w:szCs w:val="28"/>
          <w:lang w:val="uk-UA"/>
        </w:rPr>
        <w:t>scaffolding</w:t>
      </w:r>
      <w:r w:rsidRPr="00AA17A4">
        <w:rPr>
          <w:rFonts w:ascii="Times New Roman" w:hAnsi="Times New Roman" w:cs="Times New Roman"/>
          <w:sz w:val="28"/>
          <w:szCs w:val="28"/>
          <w:lang w:val="uk-UA"/>
        </w:rPr>
        <w:t xml:space="preserve"> і підтримувати академічну доброчесність. Сучасні українські дослідження також підкреслюють значення спеціально організованих форм роботи – зокрема </w:t>
      </w:r>
      <w:r w:rsidRPr="00AA17A4">
        <w:rPr>
          <w:rFonts w:ascii="Times New Roman" w:hAnsi="Times New Roman" w:cs="Times New Roman"/>
          <w:i/>
          <w:iCs/>
          <w:sz w:val="28"/>
          <w:szCs w:val="28"/>
          <w:lang w:val="uk-UA"/>
        </w:rPr>
        <w:t>research training</w:t>
      </w:r>
      <w:r w:rsidRPr="00AA17A4">
        <w:rPr>
          <w:rFonts w:ascii="Times New Roman" w:hAnsi="Times New Roman" w:cs="Times New Roman"/>
          <w:sz w:val="28"/>
          <w:szCs w:val="28"/>
          <w:lang w:val="uk-UA"/>
        </w:rPr>
        <w:t>, інтеграції урочної та позаурочної діяльності, використання інноваційних інтерактивних занять і навчально-дослідницьких завдань різного рівня складності [94]. Звідси випливає мікровисновок: дослідницький підхід є не стільки окремою методикою, скільки характеристикою якості освітнього середовища та професійної культури вчителя.</w:t>
      </w:r>
    </w:p>
    <w:p w14:paraId="26D8C69F"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З точки зору структури результату, дослідницький підхід безпосередньо пов’язаний із формуванням дослідницької компетентності учнів. О. В. Мерзликін, аналізуючи дослідницькі компетентності старшокласників, виокремлює когнітивний, праксеологічний, аксіологічний та соціально-поведінковий компоненти [78]. Таке структурування є методологічно продуктивним, оскільки показує: дослідницька компетентність не зводиться до набору технічних навичок на кшталт «уміє поставити дослід» або «уміє знайти </w:t>
      </w:r>
      <w:r w:rsidRPr="00AA17A4">
        <w:rPr>
          <w:rFonts w:ascii="Times New Roman" w:hAnsi="Times New Roman" w:cs="Times New Roman"/>
          <w:sz w:val="28"/>
          <w:szCs w:val="28"/>
          <w:lang w:val="uk-UA"/>
        </w:rPr>
        <w:lastRenderedPageBreak/>
        <w:t xml:space="preserve">інформацію». Вона охоплює знання про предмет і метод, операційно-діяльнісні вміння, ціннісне ставлення до істини та доказу, а також комунікативно-поведінкові здатності – відповідальність, готовність до співпраці, дотримання етичних норм, наполегливість у пошуку [78]. В. В. Вербицький, зі свого боку, розглядає дослідницьку компетентність як засіб формування особистості, підкреслюючи її зв’язок із готовністю до саморозвитку [66]. Отже, у структурі компетентнісних результатів навчання дослідницька компетентність має інтегративний характер і поєднує когнітивний, діяльнісний та ціннісний виміри освіти. </w:t>
      </w:r>
    </w:p>
    <w:p w14:paraId="654881E6"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Найочевидніше роль дослідницького підходу виявляється у формуванні предметних і міжпредметних компетентностей, передусім у природничо-науковій, технологічній та математичній сферах. Європейська рамка ключових компетентностей і український державний стандарт шкільної освіти виходять із того, що сучасний випускник має не просто володіти фрагментарними знаннями, а бути здатним використовувати їх для пояснення явищ, розв’язання проблем і прийняття рішень. Дослідницький підхід створює для цього найадекватніший формат, оскільки поєднує опанування фактів із розумінням способу їх одержання [11]. Через нього учень засвоює не лише «що відомо», а й «як це стало відомим», тобто входить у культуру дисциплінарного мислення. У цьому виявляється його особлива освітня цінність: предметна компетентність перестає бути репродуктивним володінням термінами й правилами та набуває характеру здатності діяти відповідно до логіки певної галузі знання [10].</w:t>
      </w:r>
    </w:p>
    <w:p w14:paraId="29AC40F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Не менш важливою є роль дослідницького підходу у формуванні компетентності «уміння вчитися» та пов’язаної з нею учнівської агентності. У логіці OECD Learning Compass 2030 агентність розглядається як здатність і готовність учня цілеспрямовано діяти, ставити цілі, планувати кроки, рефлексувати результати та брати відповідальність за власну освітню траєкторію </w:t>
      </w:r>
      <w:r w:rsidRPr="004D658F">
        <w:rPr>
          <w:rFonts w:ascii="Times New Roman" w:hAnsi="Times New Roman" w:cs="Times New Roman"/>
          <w:sz w:val="28"/>
          <w:szCs w:val="28"/>
          <w:lang w:val="uk-UA"/>
        </w:rPr>
        <w:t>[</w:t>
      </w:r>
      <w:r w:rsidRPr="00AA17A4">
        <w:rPr>
          <w:rFonts w:ascii="Times New Roman" w:hAnsi="Times New Roman" w:cs="Times New Roman"/>
          <w:sz w:val="28"/>
          <w:szCs w:val="28"/>
          <w:lang w:val="uk-UA"/>
        </w:rPr>
        <w:t>16</w:t>
      </w:r>
      <w:r w:rsidRPr="004D658F">
        <w:rPr>
          <w:rFonts w:ascii="Times New Roman" w:hAnsi="Times New Roman" w:cs="Times New Roman"/>
          <w:sz w:val="28"/>
          <w:szCs w:val="28"/>
          <w:lang w:val="uk-UA"/>
        </w:rPr>
        <w:t>]</w:t>
      </w:r>
      <w:r w:rsidRPr="00AA17A4">
        <w:rPr>
          <w:rFonts w:ascii="Times New Roman" w:hAnsi="Times New Roman" w:cs="Times New Roman"/>
          <w:sz w:val="28"/>
          <w:szCs w:val="28"/>
          <w:lang w:val="uk-UA"/>
        </w:rPr>
        <w:t xml:space="preserve">. Дослідницький підхід фактично є шкільним механізмом розвитку такої агентності, оскільки змушує учня переходити від пасивного очікування інструкції до самостійного визначення, що саме потрібно з’ясувати, яких даних </w:t>
      </w:r>
      <w:r w:rsidRPr="00AA17A4">
        <w:rPr>
          <w:rFonts w:ascii="Times New Roman" w:hAnsi="Times New Roman" w:cs="Times New Roman"/>
          <w:sz w:val="28"/>
          <w:szCs w:val="28"/>
          <w:lang w:val="uk-UA"/>
        </w:rPr>
        <w:lastRenderedPageBreak/>
        <w:t>бракує, які інструменти доречні, як перевірити надійність висновку. У дьюїстській традиції це відповідає становленню рефлексивного мислення як внутрішньої дисципліни розуму [53]. Тому дослідницьке навчання виконує подвійне завдання: з одного боку, воно забезпечує освоєння предметного змісту, з другого – формує метапізнавальні механізми саморегуляції, без яких компетентнісна освіта лишається декларацією.</w:t>
      </w:r>
    </w:p>
    <w:p w14:paraId="50458A4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Істотний внесок дослідницький підхід робить у формування критичного мислення, аргументації та культури судження. Його сутність полягає не лише в пошуку нової інформації, а в переведенні учня в режим відкладеного, перевірюваного висновку. Саме цю рису Дьюї вважав принциповою для рефлексивного мислення: судження набуває освітньої цінності тоді, коли спирається на підстави і витримує перевірку наслідками [24]. У цьому сенсі дослідницький підхід дисциплінує інтелектуальну діяльність, привчаючи не ототожнювати першу інтуїцію з доведеним знанням. Висновки Mayer щодо переваги </w:t>
      </w:r>
      <w:r w:rsidRPr="00AA17A4">
        <w:rPr>
          <w:rFonts w:ascii="Times New Roman" w:hAnsi="Times New Roman" w:cs="Times New Roman"/>
          <w:i/>
          <w:iCs/>
          <w:sz w:val="28"/>
          <w:szCs w:val="28"/>
          <w:lang w:val="uk-UA"/>
        </w:rPr>
        <w:t>guided methods</w:t>
      </w:r>
      <w:r w:rsidRPr="00AA17A4">
        <w:rPr>
          <w:rFonts w:ascii="Times New Roman" w:hAnsi="Times New Roman" w:cs="Times New Roman"/>
          <w:sz w:val="28"/>
          <w:szCs w:val="28"/>
          <w:lang w:val="uk-UA"/>
        </w:rPr>
        <w:t xml:space="preserve"> над </w:t>
      </w:r>
      <w:r w:rsidRPr="00AA17A4">
        <w:rPr>
          <w:rFonts w:ascii="Times New Roman" w:hAnsi="Times New Roman" w:cs="Times New Roman"/>
          <w:i/>
          <w:iCs/>
          <w:sz w:val="28"/>
          <w:szCs w:val="28"/>
          <w:lang w:val="uk-UA"/>
        </w:rPr>
        <w:t>pure discovery</w:t>
      </w:r>
      <w:r w:rsidRPr="00AA17A4">
        <w:rPr>
          <w:rFonts w:ascii="Times New Roman" w:hAnsi="Times New Roman" w:cs="Times New Roman"/>
          <w:sz w:val="28"/>
          <w:szCs w:val="28"/>
          <w:lang w:val="uk-UA"/>
        </w:rPr>
        <w:t xml:space="preserve"> також підсилюють цей аргумент: критичне мислення розвивається не в умовах хаотичного пошуку, а в середовищі, де учень навчається виявляти підстави, розрізняти припущення й доказ, оцінювати альтернативи та коригувати позицію. Тому дослідницький підхід слід розглядати як дієвий інструмент виховання культури аргументованості, а не лише як спосіб урізноманітнення уроку [33]. </w:t>
      </w:r>
    </w:p>
    <w:p w14:paraId="16D72010"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В умовах цифровізації освіти дослідницький підхід набуває додаткового значення для формування інформаційної та цифрової компетентностей. В українських дослідженнях комп’ютерно орієнтована навчальна діяльність також розглядається як простір формування дослідницької компетентності: цифрові інструменти надають учням можливість працювати з моделями, базами даних, симуляціями, візуалізаціями, електронними джерелами, а отже – не лише споживати контент, а й конструювати знання. Цінність цієї обставини полягає в тому, що цифрова компетентність у межах дослідницького підходу перестає бути технічною вправністю користувача й перетворюється на інструмент доказового мислення. Учень вчиться не просто знаходити відомості онлайн, а перевіряти </w:t>
      </w:r>
      <w:r w:rsidRPr="00AA17A4">
        <w:rPr>
          <w:rFonts w:ascii="Times New Roman" w:hAnsi="Times New Roman" w:cs="Times New Roman"/>
          <w:sz w:val="28"/>
          <w:szCs w:val="28"/>
          <w:lang w:val="uk-UA"/>
        </w:rPr>
        <w:lastRenderedPageBreak/>
        <w:t>їхню релевантність, інтерпретувати дані, співвідносити різні джерела й представляти результати в належній формі [54].</w:t>
      </w:r>
    </w:p>
    <w:p w14:paraId="55F5BDDC"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Комунікативні, соціальні та громадянські компетентності також формуються в дослідницькому підході не побічно, а безпосередньо. Дослідження в шкільному середовищі майже ніколи не є суто індивідуальною інтелектуальною операцією; воно передбачає спільне обговорення проблеми, розподіл ролей, координацію дій, публічну аргументацію, відкритість до критики, дотримання етичних правил роботи з інформацією та результатами. У концептуальних документах OECD підкреслюється, що активна участь учнів у визначенні ходу власного навчання пов’язана з вищим рівнем аналітичних і комунікаційних умінь, творчості у розв’язанні проблем, автономії та впевненості в роботі в командах, що особливо важливо для сучасної школи, оскільки соціальні компетентності не формуються лише через декларацію цінностей; вони виробляються в організованій практиці співпраці. Дослідницький підхід надає таку практику, поєднуючи інтелектуальну автономію із культурою наукового діалогу.</w:t>
      </w:r>
    </w:p>
    <w:p w14:paraId="4F8175A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Міжпредметний потенціал дослідницького підходу особливо виразно простежується тоді, коли порівнюються природничі й суспільно-гуманітарні практики навчання. У природничих дисциплінах, включно з географією, він реалізується через спостереження процесів, організацію експериментальної діяльності, лабораторних і практичних робіт, використання моделювання, аналіз просторових і кількісних даних. У гуманітарних предметах дослідницька логіка має іншу емпіричну основу, але зберігає ту саму гносеологічну структуру: постановку питання, роботу з джерелами, зіставлення інтерпретацій, аргументоване висування версій і висновків. Практика навчання історії, описана П. Морозом, підтверджує продуктивність такої моделі для старшої школи. Отже, дослідницький підхід не є привілеєм STEM-освіти; його універсальність полягає у відтворенні загальної логіки пізнання, яка конкретизується відповідно до природи навчального матеріалу. Універсальність робить його особливо цінним </w:t>
      </w:r>
      <w:r w:rsidRPr="00AA17A4">
        <w:rPr>
          <w:rFonts w:ascii="Times New Roman" w:hAnsi="Times New Roman" w:cs="Times New Roman"/>
          <w:sz w:val="28"/>
          <w:szCs w:val="28"/>
          <w:lang w:val="uk-UA"/>
        </w:rPr>
        <w:lastRenderedPageBreak/>
        <w:t xml:space="preserve">для компетентнісної школи, де потрібні не розрізнені предметні «техніки», а узагальнені способи мислення і дії [80]. </w:t>
      </w:r>
    </w:p>
    <w:p w14:paraId="348BE54F"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Отже, сутність дослідницького підходу в педагогіці полягає в тому, що він організовує навчання як керований, доказовий і рефлексивний процес побудови знання, в якому учень проходить логіку науково обґрунтованого пізнання в доступній для його віку та освітньої ситуації формі. Його роль у формуванні компетентностей учнів є системною: він забезпечує становлення предметних, міжпредметних і ключових компетентностей, інтегруючи знання, діяльність, цінності й комунікацію в єдиному навчальному процесі. Саме тому в сучасній школі дослідницький підхід слід розглядати не як додаткову інновацію, а як один із фундаментальних механізмів реалізації компетентнісної освіти, що поєднує інтелектуальну автономію учня з педагогічно продуманою підтримкою, а засвоєння змісту – з формуванням культури мислення, відповідального судження та готовності до безперервного навчання. </w:t>
      </w:r>
    </w:p>
    <w:p w14:paraId="75E8C669" w14:textId="77777777" w:rsidR="004D658F" w:rsidRPr="00AA17A4" w:rsidRDefault="004D658F" w:rsidP="004D658F">
      <w:pPr>
        <w:spacing w:after="0" w:line="360" w:lineRule="auto"/>
        <w:jc w:val="both"/>
        <w:rPr>
          <w:rFonts w:ascii="Times New Roman" w:hAnsi="Times New Roman" w:cs="Times New Roman"/>
          <w:sz w:val="28"/>
          <w:szCs w:val="28"/>
          <w:lang w:val="uk-UA"/>
        </w:rPr>
      </w:pPr>
    </w:p>
    <w:p w14:paraId="7E10AB9E" w14:textId="77777777" w:rsidR="004D658F" w:rsidRPr="00AA17A4" w:rsidRDefault="004D658F" w:rsidP="004D658F">
      <w:pPr>
        <w:spacing w:after="0" w:line="360" w:lineRule="auto"/>
        <w:jc w:val="both"/>
        <w:rPr>
          <w:rFonts w:ascii="Times New Roman" w:hAnsi="Times New Roman" w:cs="Times New Roman"/>
          <w:sz w:val="28"/>
          <w:szCs w:val="28"/>
          <w:lang w:val="uk-UA"/>
        </w:rPr>
      </w:pPr>
    </w:p>
    <w:p w14:paraId="6094C7CE" w14:textId="77777777" w:rsidR="004D658F" w:rsidRPr="00AA17A4" w:rsidRDefault="004D658F" w:rsidP="004D658F">
      <w:pPr>
        <w:spacing w:after="0" w:line="360" w:lineRule="auto"/>
        <w:jc w:val="center"/>
        <w:rPr>
          <w:rFonts w:ascii="Times New Roman" w:hAnsi="Times New Roman" w:cs="Times New Roman"/>
          <w:b/>
          <w:bCs/>
          <w:sz w:val="28"/>
          <w:szCs w:val="28"/>
          <w:lang w:val="uk-UA"/>
        </w:rPr>
      </w:pPr>
      <w:r w:rsidRPr="00AA17A4">
        <w:rPr>
          <w:rFonts w:ascii="Times New Roman" w:hAnsi="Times New Roman" w:cs="Times New Roman"/>
          <w:b/>
          <w:bCs/>
          <w:sz w:val="28"/>
          <w:szCs w:val="28"/>
          <w:lang w:val="uk-UA"/>
        </w:rPr>
        <w:t>1.2. Нормативно-правові та програмно-методичні засади формування географічних компетентностей у процесі навчання географії в закладах загальної середньої освіти</w:t>
      </w:r>
    </w:p>
    <w:p w14:paraId="46C209F8" w14:textId="77777777" w:rsidR="004D658F" w:rsidRPr="00AA17A4" w:rsidRDefault="004D658F" w:rsidP="004D658F">
      <w:pPr>
        <w:spacing w:after="0" w:line="360" w:lineRule="auto"/>
        <w:rPr>
          <w:rFonts w:ascii="Times New Roman" w:hAnsi="Times New Roman" w:cs="Times New Roman"/>
          <w:b/>
          <w:bCs/>
          <w:sz w:val="28"/>
          <w:szCs w:val="28"/>
          <w:lang w:val="uk-UA"/>
        </w:rPr>
      </w:pPr>
    </w:p>
    <w:p w14:paraId="1D054AA9"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Формування географічних компетентностей у закладах загальної середньої освіти не є результатом виключно локальних методичних рішень учителя або окремого авторського бачення змісту предмета. Воно визначається багаторівневою системою нормативно-правового та програмно-методичного регулювання, у межах якої законодавство встановлює цілі й принципи загальної середньої освіти, державні стандарти конкретизують обов’язкові результати навчання, типові освітні програми визначають рамку організації освітнього процесу, модельні навчальні програми розгортають логіку предметного змісту й очікуваних результатів, а щорічні інструктивно-методичні рекомендації МОН операціоналізують ці положення на рівні класу, теми, виду діяльності та </w:t>
      </w:r>
      <w:r w:rsidRPr="00AA17A4">
        <w:rPr>
          <w:rFonts w:ascii="Times New Roman" w:hAnsi="Times New Roman" w:cs="Times New Roman"/>
          <w:sz w:val="28"/>
          <w:szCs w:val="28"/>
          <w:lang w:val="uk-UA"/>
        </w:rPr>
        <w:lastRenderedPageBreak/>
        <w:t>оцінювання. Тому дослідження географічної компетентності в шкільній освіті потребує не лише дидактичного, а й нормативно-аналітичного підходу: лише через співвіднесення правових норм, стандартів і програм можна встановити, які саме знання, уміння, ставлення, цінності та способи діяльності визнаються обов’язковими, як вони групуються, у яких формах реалізуються та які межі автономії має заклад освіти під час побудови власної освітньої програми. У цьому полягає принципова методологічна умова коректного аналізу формування географічних компетентностей: йдеться не про довільний перелік бажаних якостей учня, а про інституційно закріплену систему результатів, яка відображає державну освітню політику та сучасне бачення ролі географії в шкільній освіті.</w:t>
      </w:r>
    </w:p>
    <w:p w14:paraId="6F0DE785" w14:textId="77777777" w:rsidR="004D658F" w:rsidRPr="00AA17A4" w:rsidRDefault="004D658F" w:rsidP="004D658F">
      <w:pPr>
        <w:spacing w:after="0" w:line="360" w:lineRule="auto"/>
        <w:ind w:firstLine="709"/>
        <w:jc w:val="both"/>
        <w:rPr>
          <w:rFonts w:ascii="Times New Roman" w:hAnsi="Times New Roman" w:cs="Times New Roman"/>
          <w:sz w:val="28"/>
          <w:szCs w:val="28"/>
        </w:rPr>
      </w:pPr>
      <w:r w:rsidRPr="00AA17A4">
        <w:rPr>
          <w:rFonts w:ascii="Times New Roman" w:hAnsi="Times New Roman" w:cs="Times New Roman"/>
          <w:sz w:val="28"/>
          <w:szCs w:val="28"/>
          <w:lang w:val="uk-UA"/>
        </w:rPr>
        <w:t>Базовим правовим тлом для формування географічних компетентностей є перехід української школи до компетентнісної моделі освіти, закріплений у Законі України «Про освіту» [89], Законі України «Про повну загальну середню освіту» та концептуальних засадах Нової української школи [90]. У цій моделі результат освіти тлумачиться не як сума відтворених відомостей, а як здатність учня діяти на основі знань, умінь, досвіду, ставлень і цінностей. Для географічної освіти це має особливе значення, оскільки предмет за своєю природою поєднує пізнання природних процесів, суспільних явищ, просторових закономірностей, взаємодії природи і господарства, проблем раціонального природокористування, регіональної диференціації та глобальних викликів. Відповідно, компетентнісна логіка змінює сам характер географічного навчання: пріоритет набуває не накопичення ізольованих фактів про країни, природні об’єкти чи галузі господарства, а формування здатності аналізувати просторові зв’язки, працювати з картографічною та статистичною інформацією, пояснювати територіальні відмінності, оцінювати екологічні ризики, ухвалювати обґрунтовані судження щодо локальних і глобальних процесів. Отже, на рівні правового регулювання географічна компетентність постає не як факультативний результат окремих уроків, а як частина загальної архітектури компетентнісної школи.</w:t>
      </w:r>
    </w:p>
    <w:p w14:paraId="0377C704"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lastRenderedPageBreak/>
        <w:t xml:space="preserve">Зміст цього переходу неможливо повноцінно зрозуміти поза європейським контекстом, оскільки українські державні стандарти прямо орієнтовані на рамку ключових компетентностей Європейського Союзу </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27</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 На офіційній сторінці МОН, присвяченій Державному стандарту базової середньої освіти, наголошено, що перелік ключових компетентностей і наскрізних умінь у стандарті базується на рекомендаціях Європейського Парламенту та Ради ЄС щодо компетентностей для навчання впродовж життя [69]. Європейська рекомендація, своєю чергою, підкреслює, що компетентності мають формуватися через інноваційні підходи до навчання, оцінювання й підтримки педагогічних працівників. Для географії це означає принципову зміну функції предмета: він перестає розглядатися лише як канал передачі знань про Землю, населення і господарство та набуває статусу простору, де одночасно розвиваються природничо-наукова грамотність, громадянська свідомість, екологічна відповідальність, уміння вчитися, цифрова та інформаційна компетентність. Важливо, що в логіці Державного стандарту кожна освітня галузь має потенціал для розвитку кожної ключової компетентності; отже, географія в сучасній школі виконує не вузькопредметну, а системну освітню функцію, забезпечуючи інтеграцію знань і способів діяльності в єдину модель навчального результату.</w:t>
      </w:r>
    </w:p>
    <w:p w14:paraId="251A94EF"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Безпосереднє нормативне закріплення засад формування географічних компетентностей у базовій школі відбувається насамперед через Державний стандарт базової середньої освіти та роз’яснювальні документи МОН щодо природничої освітньої галузі [69]. У методичних рекомендаціях до 2024/2025 навчального року зафіксовано, що метою природничої освітньої галузі є формування особистості учня, який знає й розуміє закономірності живої та неживої природи, володіє вміннями досліджувати її, виявляє допитливість, усвідомлює цілісну наукову картину світу, оцінює вплив природничих наук і технологій на сталий розвиток та відповідально взаємодіє з довкіллям [75]. У тій самій логіці результати навчання структуруються за групами: пізнання світу природи засобами наукового дослідження; опрацювання, систематизація та представлення інформації; усвідомлення закономірностей природи й ролі науки; </w:t>
      </w:r>
      <w:r w:rsidRPr="00AA17A4">
        <w:rPr>
          <w:rFonts w:ascii="Times New Roman" w:hAnsi="Times New Roman" w:cs="Times New Roman"/>
          <w:sz w:val="28"/>
          <w:szCs w:val="28"/>
          <w:lang w:val="uk-UA"/>
        </w:rPr>
        <w:lastRenderedPageBreak/>
        <w:t>відповідальна поведінка для забезпечення сталого розвитку. Така структура має принципове значення саме для географії, оскільки географічні компетентності за своєю сутністю формуються на перетині дослідження, аналізу інформації, просторового пояснення явищ і ціннісного ставлення до довкілля. Унаслідок цього стандарт задає для шкільної географії не стільки перелік тем, скільки модель діяльнісного результату, в якій предметний зміст підпорядкований розвитку дослідницьких, інформаційно-аналітичних і світоглядних здатностей учня.</w:t>
      </w:r>
    </w:p>
    <w:p w14:paraId="07D05C4F"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У межах цієї нормативної рамки географія посідає особливе місце, оскільки вона не зводиться до одного блоку знань, а виконує інтеграційну функцію між природничим, суспільним і інформаційно-картографічним компонентами освіти. У чинній модельній навчальній програмі «Географія. 6–9 класи» під редакцією С. П. Запотоцького та співавторів географія визначається як класична навчальна дисципліна, що активно бере участь у формуванні наукової картини світу та інтегрує природничі, громадянські й інформаційно-технічні галузі знань. Мета програми безпосередньо пов’язується з формуванням предметної географічної та розвитком усіх ключових компетентностей; серед її завдань названо використання картографічних, статистичних і геоінформаційних ресурсів, розвиток пізнавальних, дослідницьких, творчих і комунікативних здібностей, застосування географічних знань для соціально відповідальної поведінки у довкіллі [72]. У науково-методичних працях українських дослідників таке бачення узгоджується з ідеєю географії як важливого компонента наукової картини світу та простору формування предметної географічної компетентності. Звідси випливає мікровисновок: нормативні документи трактують географію не як «інформаційний» предмет, а як інструмент формування цілісного просторового, екологічного і суспільно відповідального мислення [96].</w:t>
      </w:r>
    </w:p>
    <w:p w14:paraId="5F72011D"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Важливою нормативно-правовою ланкою є законодавче визначення статусу освітньої програми, типової освітньої програми й модельної навчальної програми. Стаття 11 Закону України «Про повну загальну середню освіту» </w:t>
      </w:r>
      <w:r w:rsidRPr="00AA17A4">
        <w:rPr>
          <w:rFonts w:ascii="Times New Roman" w:hAnsi="Times New Roman" w:cs="Times New Roman"/>
          <w:sz w:val="28"/>
          <w:szCs w:val="28"/>
          <w:lang w:val="uk-UA"/>
        </w:rPr>
        <w:lastRenderedPageBreak/>
        <w:t>фіксує, що освітня програма закладу освіти може бути розроблена на основі типової освітньої програми, а сама типова програма має містити, зокрема, перелік варіантів типових навчальних планів і модельних навчальних програм, рекомендовані форми організації освітнього процесу та опис інструментарію оцінювання. Закон також надає закладові освіти право визначати перелік модельних навчальних програм, що використовуються в освітньому процесі, а також передбачати перерозподіл годин між навчальними предметами певної освітньої галузі [90]. Для географії ця норма є концептуально значущою. Вона означає, що формування географічних компетентностей відбувається не в жорстко централізованому режимі, а в межах регульованої автономії: держава встановлює обов’язкові результати, проте конкретний шлях до них – через вибір модельної програми, навчального плану, форм організації занять, локальних тем досліджень, співвідношення інтегрованих і предметних компонентів – визначається на рівні закладу освіти. Такий підхід поєднує стандартність результату з варіативністю освітнього маршруту, що є засадничим для компетентнісної географічної освіти.</w:t>
      </w:r>
    </w:p>
    <w:p w14:paraId="33A19B24"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У базовій середній освіті програмна конкретизація цих норм здійснюється через Типову освітню програму для 5–9 класів, затверджену наказом МОН від 19.02.2021 № 235 і викладену в новій редакції наказом від 09.08.2024 № 1120 [88; 87</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 xml:space="preserve">. Уже сама структура документа демонструє його програмно-методичну роль: він містить загальні положення, вимоги до осіб, які можуть розпочати навчання, обсяг навчального навантаження, типові навчальні плани, перелік модельних навчальних програм, вимоги до них, рекомендовані форми організації освітнього процесу та опис інструментарію оцінювання. Методичні рекомендації МОН до 2024/2025 навчального року додатково уточнюють, що нова редакція програми визначає мінімальну і максимальну кількість годин на реалізацію природничої освітньої галузі, а заклад освіти в межах цього діапазону встановлює конкретну кількість навчальних годин і може збільшувати пріоритетні для конкретного класу освітні компоненти за рахунок перерозподілу годин. Для географічної освіти це означає, що формування компетентностей залежить не лише від </w:t>
      </w:r>
      <w:r w:rsidRPr="00AA17A4">
        <w:rPr>
          <w:rFonts w:ascii="Times New Roman" w:hAnsi="Times New Roman" w:cs="Times New Roman"/>
          <w:sz w:val="28"/>
          <w:szCs w:val="28"/>
          <w:lang w:val="uk-UA"/>
        </w:rPr>
        <w:lastRenderedPageBreak/>
        <w:t>формального факту наявності предмета в навчальному плані, а й від того, яку вагу заклад освіти надає природничій галузі, як він вибудовує співвідношення інтегрованих курсів і окремих дисциплін, яким чином закладає простір для практичної, дослідницької, картографічної та проєктної діяльності.</w:t>
      </w:r>
    </w:p>
    <w:p w14:paraId="59C9733E"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Особливої уваги в контексті формування географічних компетентностей потребує організація природничої освітньої галузі у 5–6 класах, оскільки саме тут нормативно поєднуються інтегративна логіка навчання та початок системного географічного курсу. У методичних рекомендаціях МОН зафіксовано, що в 5–6 класах природнича галузь реалізується через інтегрований курс, але в 6 класі типовим навчальним планом передбачено також вивчення навчального предмета «Географія». При цьому географія включається до навчального плану закладу освіти у разі, якщо інтегрований курс вивчається за модельними програмами «Пізнаємо природу» або «Довкілля»; якщо ж заклад працює за програмою «Природничі науки», окремий предмет «Географія» до навчального плану не включається </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83</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 Нормативно ця модель спрямована на уникнення дублювання змісту й раціональне використання навчального часу. У педагогічному вимірі вона означає, що старт формування географічних компетентностей може мати різну організаційну конфігурацію, але в будь-якому разі повинен забезпечувати наступність між інтегрованим природничим змістом і власне географічним способом пізнання світу. Саме тому проблема 5–6 класів є не просто адміністративною, а методологічною: тут визначається, чи ввійде учень у географію як у самостійну систему просторового мислення і картографічної діяльності, чи сприйматиме її лише як фрагмент загального природничого курсу [73].</w:t>
      </w:r>
    </w:p>
    <w:p w14:paraId="2056F016"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Починаючи з 7 класу, нормативна логіка стає більш предметно виразною: природнича освітня галузь реалізується через окремі навчальні предмети – біологію, географію, фізику, хімію. Для географії це має визначальне значення, оскільки саме на цьому етапі розгортається системне формування предметної географічної компетентності, яке вже не може бути забезпечене лише інтегрованими природничими курсами. Методичні рекомендації МОН для </w:t>
      </w:r>
      <w:r w:rsidRPr="00AA17A4">
        <w:rPr>
          <w:rFonts w:ascii="Times New Roman" w:hAnsi="Times New Roman" w:cs="Times New Roman"/>
          <w:sz w:val="28"/>
          <w:szCs w:val="28"/>
          <w:lang w:val="uk-UA"/>
        </w:rPr>
        <w:lastRenderedPageBreak/>
        <w:t xml:space="preserve">2024/2025 навчального року підкреслюють, що курс географії у 7 класі є логічним продовженням курсу 6 класу, формує географічні знання про природу материків та океанів, розширює уявлення про географічну оболонку, розвиває вміння проводити дослідження та працювати з інформацією, а модельними програмами передбачено також формування картографічної компетентності. Це означає, що на рівні нормативно-методичного регулювання географія в 7-9 класах набуває чіткої систематичності й автономії, достатньої для послідовного формування просторового мислення, уміння інтерпретувати карти, аналізувати природні та соціально-економічні процеси, виявляти причинно-наслідкові зв’язки та застосовувати географічне знання до пояснення реальних територіальних явищ. Інакше кажучи, 7-9 класи становлять нормативно визначений «ядровий» цикл шкільної географічної освіти в базовій школі. </w:t>
      </w:r>
    </w:p>
    <w:p w14:paraId="4245384F"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Ключову програмно-методичну роль у формуванні географічних компетентностей відіграють чинні модельні навчальні програми з географії для 6-9 класів, рекомендовані МОН. Методичні рекомендації до 2024/2025 навчального року прямо фіксують наявність двох таких програм – авторського колективу С. П. Запотоцького та авторського колективу С. Г. Коберніка. Порівняльний аналіз цих документів дає підстави для кількох висновків. По-перше, обидві програми є повноцінно компетентнісними: вони не обмежуються тематичним переліком, а містять очікувані результати, види навчальної діяльності й орієнтири оцінювання. По-друге, програма С. П. Запотоцького акцентує інтегративний характер шкільної географії, використання картографічних, статистичних і геоінформаційних ресурсів, розвиток дослідницьких та комунікативних здібностей, застосування знань для соціально відповідальної поведінки. По-третє, програма С. Г. Коберніка більш виразно репрезентує міжгалузеві зв’язки й поетапну логіку курсу: у ній чітко простежується змістова траєкторія від «Вступу до географії» через «Материки та океани» і «Україну у світі: природа, населення» до «України у світовій економіці», причому кожний розділ співвіднесений з іншими освітніми галузями. З методичної точки зору це означає, що обидві програми ведуть до </w:t>
      </w:r>
      <w:r w:rsidRPr="00AA17A4">
        <w:rPr>
          <w:rFonts w:ascii="Times New Roman" w:hAnsi="Times New Roman" w:cs="Times New Roman"/>
          <w:sz w:val="28"/>
          <w:szCs w:val="28"/>
          <w:lang w:val="uk-UA"/>
        </w:rPr>
        <w:lastRenderedPageBreak/>
        <w:t>спільного результату, але відрізняються акцентами: одна сильніше підкреслює інструментально-дослідницький і прикладний потенціал, інша – системність змістового розгортання та міжпредметну інтеграцію.</w:t>
      </w:r>
    </w:p>
    <w:p w14:paraId="748E1101"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Програмно-методична цінність модельних програм полягає також у тому, що вони нормативно легітимують конкретні способи діяльності, через які формуються географічні компетентності. У програмі С. П. Запотоцького прямо зазначено, що реалізація змісту відбувається через дослідження, практичні роботи, вправи, моделювання, розв’язання ситуативних, проблемних і аналітичних завдань, екскурсії, роботу з навчальною й науково-популярною літературою, цифровими ресурсами; такий підхід спрямований на розвиток критичного й системного мислення, уміння логічно обґрунтовувати власну думку, творчо діяти, оцінювати ризики, приймати рішення й працювати у співпраці з іншими. Ще докладніше методичні рекомендації МОН показують це на рівні 7 класу: учителям пропонуються різноманітні практичні роботи з контурними картами, географічними координатами, кліматодіаграмами, виявленням зв’язків між тектонічною будовою і рельєфом, аналізом різних джерел географічної інформації, створенням маршрутів, картограм, презентацій, міні-досліджень і прогнозів. Тому модельна програма не є формальним «переліком тем»; вона виконує функцію методичного проєкту компетентнісного навчання, у якому змістовий компонент нерозривно поєднано з операційно-діяльнісним. Звідси випливає, що реальне формування географічних компетентностей залежить від того, наскільки вчитель і заклад освіти використовують закладений у програмах потенціал дослідницької, практичної та аналітичної роботи.</w:t>
      </w:r>
    </w:p>
    <w:p w14:paraId="092F3932"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Наукове осмислення нормативних і програмних засад формування географічних компетентностей потребує звернення до структури самої предметної географічної компетентності. У статті В. Топузова і Л. Вішнікіної вона подається як багатокомпонентне утворення, що охоплює змістовий, операційний, прикладний, емоційно-ціннісний і світоглядний компоненти. Таке структурування є продуктивним для аналізу чинних нормативних документів, </w:t>
      </w:r>
      <w:r w:rsidRPr="00AA17A4">
        <w:rPr>
          <w:rFonts w:ascii="Times New Roman" w:hAnsi="Times New Roman" w:cs="Times New Roman"/>
          <w:sz w:val="28"/>
          <w:szCs w:val="28"/>
          <w:lang w:val="uk-UA"/>
        </w:rPr>
        <w:lastRenderedPageBreak/>
        <w:t>оскільки дозволяє побачити їхню внутрішню збалансованість. Змістовий компонент забезпечується через державний стандарт і модельні програми; операційний – через наголос на дослідженні, роботі з інформацією, картографічній діяльності та аналізі даних; прикладний – через орієнтацію на розв’язання практичних, локальних, екологічних і соціально значущих проблем; емоційно-ціннісний – через виховання відповідального ставлення до природи, патріотизму, толерантності та культури взаємодії з довкіллям; світоглядний – через формування наукової картини світу й розуміння місця людини в системі «природа – суспільство – господарство». Отже, чинна нормативно-програмна база не лише декларує компетентнісний підхід, а фактично охоплює основні структурні елементи предметної географічної компетентності, описані в українській педагогічній науці.</w:t>
      </w:r>
    </w:p>
    <w:p w14:paraId="73B1E0F1"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Окремий аналітичний вимір програмно-методичних засад становить цифрова та інформаційна складова географічної освіти. Поряд із предметними результатами дедалі більшого значення набуває формування інформаційної грамотності та цифрової компетентності учнів. Цей висновок повністю узгоджується з логікою чинних модельних програм, які вимагають використання картографічних, статистичних і геоінформаційних ресурсів, роботи з цифровими джерелами, створення презентацій, інтерпретації різнорідних даних і представлення результатів навчальної діяльності. За таких умов географічна компетентність перестає бути лише «картознавчою» чи «країнознавчою». Вона розширюється до здатності орієнтуватися в інформаційних потоках, критично співвідносити джерела, аналізувати цифрові карти й просторові дані, виявляти маніпулятивність або неповноту інформації, тобто досягати такого рівня предметної грамотності, який відповідає цифровому середовищу сучасної освіти. Тому програмно-методичні документи, що включають геоінформаційні та цифрові інструменти, фактично формують новий профіль географічної компетентності – аналітично-цифровий, а не лише енциклопедичний.</w:t>
      </w:r>
    </w:p>
    <w:p w14:paraId="0A0F7D15"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Не менш важливим є інтеграційний вимір нормативно-програмних засад. Географічна складова інтегрованих природничих курсів у 5–6 класах виконує не </w:t>
      </w:r>
      <w:r w:rsidRPr="00AA17A4">
        <w:rPr>
          <w:rFonts w:ascii="Times New Roman" w:hAnsi="Times New Roman" w:cs="Times New Roman"/>
          <w:sz w:val="28"/>
          <w:szCs w:val="28"/>
          <w:lang w:val="uk-UA"/>
        </w:rPr>
        <w:lastRenderedPageBreak/>
        <w:t>допоміжну, а функціонально значущу роль у формуванні природничої компетентності учнів. У поєднанні з монографічним аналізом Т. Засєкіної це дозволяє стверджувати, що нормативно закріплена інтеграція в природничій освіті має не спростити окремі предмети, а забезпечити цілісне бачення світу, в якому географія виступає своєрідною ланкою між природничим і суспільним знанням [73]. Саме тому сучасні програмно-методичні рішення у сфері географічної освіти мають враховувати дві взаємопов’язані тенденції: з одного боку, потребу в системному предметному курсі, без якого неможливе повноцінне формування картографічної, просторової та регіонально-аналітичної компетентності; з другого – необхідність інтегрованих підходів, що розкривають учням взаємодію природних, соціальних, економічних та екологічних процесів. У цьому полягає одна з центральних суперечностей і водночас переваг сучасної географічної освіти: її предметність реалізується через інтеграцію, а інтеграція не скасовує предметності, а надає їй більш глибокого компетентнісного змісту.</w:t>
      </w:r>
    </w:p>
    <w:p w14:paraId="0F3E481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Програмно-методичне забезпечення географічної освіти не вичерпується стандартом і навчальними програмами; воно має динамічний характер і щороку уточнюється через інструктивно-методичні рекомендації МОН. Саме ці документи виконують функцію оперативного мосту між рамковими нормативними положеннями та реальною практикою викладання: вони конкретизують організацію освітнього процесу в окремих класах, рекомендовані форми діяльності, співвідношення предметних і інтегрованих компонентів, особливості використання програм і підручників. У рекомендаціях до 2024/2025 навчального року безпосередньо зазначено, що модельні навчальні програми для 5–9 класів і навчальні програми для 8–9 та 10–11 класів розміщені на офіційному сайті МОН, а підручники, рекомендовані до використання, – в електронній бібліотеці ДНУ «Інститут модернізації змісту освіти». Наявність окремого наказу МОН і на 2025/2026 навчальний рік підтверджує збереження цієї щорічної форми методичного супроводу. Отже, програмно-методичні засади формування географічних компетентностей мають не статичний, а процесуальний характер: вони постійно уточнюються з урахуванням етапу освітньої реформи, змін у </w:t>
      </w:r>
      <w:r w:rsidRPr="00AA17A4">
        <w:rPr>
          <w:rFonts w:ascii="Times New Roman" w:hAnsi="Times New Roman" w:cs="Times New Roman"/>
          <w:sz w:val="28"/>
          <w:szCs w:val="28"/>
          <w:lang w:val="uk-UA"/>
        </w:rPr>
        <w:lastRenderedPageBreak/>
        <w:t>типовій програмі, переходу до нових стандартів, оновлення змісту та потреб педагогічної практики.</w:t>
      </w:r>
    </w:p>
    <w:p w14:paraId="6360CD22"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Самостійним компонентом нормативно-правових засад є регламентація оцінювання результатів навчання, оскільки саме через неї компетентність набуває статусу офіційно визнаного освітнього результату. Наказ МОН від 02.08.2024 № 1093 затвердив рекомендації щодо оцінювання результатів навчання учнів 5–9 класів, які здобувають освіту відповідно до нового Державного стандарту базової середньої освіти. Паралельно методичні рекомендації до 2024/2025 навчального року уточнили, що в шкільній документації з природничої освітньої галузі фіксуються результати за однаковими групами: «Досліджує природу», «Здійснює пошук та опрацьовує інформацію» тощо. Для географії це означає докорінну зміну акцентів в оцінюванні. Якщо в традиційній практиці домінувала перевірка запам’ятованих назв, визначень і номенклатури, то нова модель змушує оцінювати дослідницькі дії, роботу з даними, уміння інтерпретувати інформацію, виявляти закономірності, аргументувати судження й застосовувати знання в практичних ситуаціях. Отже, система оцінювання стає не зовнішнім додатком до компетентнісної географічної освіти, а її інституційним механізмом: саме вона остаточно переводить компетентнісний підхід із площини декларацій у площину щоденної педагогічної практики.</w:t>
      </w:r>
    </w:p>
    <w:p w14:paraId="13AA7A54"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Станом на березень 2026 року нормативна ситуація в старшій школі має перехідний характер, і це безпосередньо впливає на формування географічних компетентностей у 10–11 класах. Постанова Кабінету Міністрів України від 23.11.2011 № 1392 про Державний стандарт базової і повної загальної середньої освіти лишається чинною до 01.09.2026, а для старшої школи продовжує діяти Типова освітня програма закладів загальної середньої освіти ІІІ ступеня, затверджена наказом МОН від 20.04.2018 № 408. На офіційній сторінці МОН «Навчальні програми для 10-11 класів» серед програм для старшої школи прямо подано «Географію» на рівні стандарту та на профільному рівні. Одночасно методичні рекомендації МОН для 2024/2025 навчального року допускають у 10–</w:t>
      </w:r>
      <w:r w:rsidRPr="00AA17A4">
        <w:rPr>
          <w:rFonts w:ascii="Times New Roman" w:hAnsi="Times New Roman" w:cs="Times New Roman"/>
          <w:sz w:val="28"/>
          <w:szCs w:val="28"/>
          <w:lang w:val="uk-UA"/>
        </w:rPr>
        <w:lastRenderedPageBreak/>
        <w:t>11 класах або вивчення інтегрованого курсу «Природничі науки», або вивчення окремих предметів, зокрема географії. Таким чином, старша школа нині функціонує в режимі нормативної спадкоємності між попереднім стандартом і майбутньою профільною моделлю. Для дослідження географічних компетентностей це має принципове значення, оскільки в 10-11 класах продовжують діяти програми та методичні рішення, сформовані в логіці попереднього етапу реформи, але вже інтерпретовані через нові компетентнісні вимоги.</w:t>
      </w:r>
    </w:p>
    <w:p w14:paraId="0E23AE5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Водночас перспективний вимір нормативно-правових і програмно-методичних засад уже окреслено документами профільної середньої освіти, що вступатимуть у дію з 1 вересня 2027 року. Постанова Кабінету Міністрів України від 25.07.2024 № 851, якою затверджено Державний стандарт профільної середньої освіти, визначає для природничої освітньої галузі мету формування особистості, що усвідомлює цілісність природи, володіє вміннями наукового дослідження, оцінює вплив науки і технологій на соціоприродне середовище, діє для забезпечення сталого розвитку й розвиває власне наукове мислення. Реформу старшої школи МОН супроводжує окремою комунікаційною платформою, де підкреслюється, що з 2027 року старшокласники обиратимуть профілі навчання, профільні й додаткові предмети, а в академічних ліцеях застосовуватимуться дослідницькі методи навчання, проєктна та практична робота. Особливо показовим є перелік уже оприлюднених модельних програм для 10-12 класів профільної школи, серед яких наявні курси «Географія ресурсів», «Географія небезпек», «Клімат та історія», а також інтегрований курс «Географія та суспільство». Усе це свідчить, що географічна освіта в профільній школі розвиватиметься не шляхом простого збільшення фактологічного матеріалу, а через тематичну спеціалізацію, підвищення дослідницької глибини й посилення міждисциплінарності.</w:t>
      </w:r>
    </w:p>
    <w:p w14:paraId="09E47144"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Науково-методичні праці з проблем профільного навчання географії демонструють, що така перспектива не є випадковою, а має підготовлене теоретичне підґрунтя. У монографії Т. Назаренко «Методика навчання географії </w:t>
      </w:r>
      <w:r w:rsidRPr="00AA17A4">
        <w:rPr>
          <w:rFonts w:ascii="Times New Roman" w:hAnsi="Times New Roman" w:cs="Times New Roman"/>
          <w:sz w:val="28"/>
          <w:szCs w:val="28"/>
          <w:lang w:val="uk-UA"/>
        </w:rPr>
        <w:lastRenderedPageBreak/>
        <w:t>в профільній школі: теорія і практика» обґрунтовано теоретико-методологічні основи профільного навчання географії, а в подальших працях дослідниці наголошено, що формування предметної компетентності в старшій школі має відбуватися на засадах історичного, просторового, комплексного, типологічного, проблемного й конструктивного підходів, що важливо для інтерпретації нових нормативних документів: перелік географічних курсів для 10-12 класів профільної школи фактично переводить у програмну площину ті методологічні орієнтири, які раніше були розроблені в українській географічній дидактиці [82]. Отже, нормативне оновлення профільної школи не розриває зв’язок із попередніми науково-методичними пошуками, а інституціоналізує їх у формі нових стандартів і модельних програм. Для майбутнього вчителя географії й для дослідника методики це означає необхідність читати сучасні нормативні акти не ізольовано, а в контексті тривалої еволюції вітчизняної теорії географічної освіти.</w:t>
      </w:r>
    </w:p>
    <w:p w14:paraId="1BD9E485"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Проведений аналіз дає підстави для узагальнення, що нормативно-правові та програмно-методичні засади формування географічних компетентностей у процесі навчання географії в закладах загальної середньої освіти утворюють цілісну ієрархічну систему. На верхньому рівні її визначають закони та концептуальні документи, що закріплюють компетентнісну парадигму й автономію закладу освіти; на середньому – державні стандарти, які встановлюють обов’язкові результати навчання та місце географії в природничій освітній галузі; на операційному – типові освітні програми, модельні навчальні програми, документи з оцінювання та щорічні методичні рекомендації МОН. Саме взаємодія цих рівнів забезпечує сучасне розуміння географічної компетентності як інтегрованого результату, що охоплює знання про природу, населення, господарство і просторові процеси, уміння досліджувати, інтерпретувати карти й дані, аналізувати причинно-наслідкові зв’язки, діяти екологічно й соціально відповідально, працювати з цифровими ресурсами, співпрацювати, аргументувати судження та застосовувати географічне знання в реальних життєвих ситуаціях. Тому ефективність формування географічних </w:t>
      </w:r>
      <w:r w:rsidRPr="00AA17A4">
        <w:rPr>
          <w:rFonts w:ascii="Times New Roman" w:hAnsi="Times New Roman" w:cs="Times New Roman"/>
          <w:sz w:val="28"/>
          <w:szCs w:val="28"/>
          <w:lang w:val="uk-UA"/>
        </w:rPr>
        <w:lastRenderedPageBreak/>
        <w:t>компетентностей залежить не від одного окремого документа чи методу, а від узгодженості всієї нормативно-програмної конструкції та від професійної здатності вчителя реалізувати її потенціал у конкретному освітньому середовищі.</w:t>
      </w:r>
    </w:p>
    <w:p w14:paraId="1120793E" w14:textId="77777777" w:rsidR="004D658F" w:rsidRPr="00AA17A4" w:rsidRDefault="004D658F" w:rsidP="004D658F">
      <w:pPr>
        <w:spacing w:after="0" w:line="360" w:lineRule="auto"/>
        <w:jc w:val="both"/>
        <w:rPr>
          <w:rFonts w:ascii="Times New Roman" w:hAnsi="Times New Roman" w:cs="Times New Roman"/>
          <w:sz w:val="28"/>
          <w:szCs w:val="28"/>
          <w:lang w:val="uk-UA"/>
        </w:rPr>
      </w:pPr>
    </w:p>
    <w:p w14:paraId="25D7F879" w14:textId="77777777" w:rsidR="004D658F" w:rsidRPr="00AA17A4" w:rsidRDefault="004D658F" w:rsidP="004D658F">
      <w:pPr>
        <w:spacing w:after="0" w:line="360" w:lineRule="auto"/>
        <w:jc w:val="both"/>
        <w:rPr>
          <w:rFonts w:ascii="Times New Roman" w:hAnsi="Times New Roman" w:cs="Times New Roman"/>
          <w:sz w:val="28"/>
          <w:szCs w:val="28"/>
          <w:lang w:val="uk-UA"/>
        </w:rPr>
      </w:pPr>
    </w:p>
    <w:p w14:paraId="6963EF3B" w14:textId="77777777" w:rsidR="004D658F" w:rsidRPr="00AA17A4" w:rsidRDefault="004D658F" w:rsidP="004D658F">
      <w:pPr>
        <w:spacing w:after="0" w:line="360" w:lineRule="auto"/>
        <w:jc w:val="center"/>
        <w:rPr>
          <w:rFonts w:ascii="Times New Roman" w:hAnsi="Times New Roman" w:cs="Times New Roman"/>
          <w:b/>
          <w:bCs/>
          <w:sz w:val="28"/>
          <w:szCs w:val="28"/>
          <w:lang w:val="uk-UA"/>
        </w:rPr>
      </w:pPr>
      <w:r w:rsidRPr="00AA17A4">
        <w:rPr>
          <w:rFonts w:ascii="Times New Roman" w:hAnsi="Times New Roman" w:cs="Times New Roman"/>
          <w:b/>
          <w:bCs/>
          <w:sz w:val="28"/>
          <w:szCs w:val="28"/>
          <w:lang w:val="uk-UA"/>
        </w:rPr>
        <w:t>1.3. Зарубіжний та історичний досвід розвитку дослідницького навчання у шкільній географії</w:t>
      </w:r>
    </w:p>
    <w:p w14:paraId="39DD89E5" w14:textId="77777777" w:rsidR="004D658F" w:rsidRPr="00AA17A4" w:rsidRDefault="004D658F" w:rsidP="004D658F">
      <w:pPr>
        <w:spacing w:after="0" w:line="360" w:lineRule="auto"/>
        <w:rPr>
          <w:rFonts w:ascii="Times New Roman" w:hAnsi="Times New Roman" w:cs="Times New Roman"/>
          <w:b/>
          <w:bCs/>
          <w:sz w:val="28"/>
          <w:szCs w:val="28"/>
          <w:lang w:val="uk-UA"/>
        </w:rPr>
      </w:pPr>
    </w:p>
    <w:p w14:paraId="02FFD968"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Аналіз зарубіжного та історичного досвіду розвитку дослідницького навчання у шкільній географії має не лише описове, а й методологічне значення, оскільки дозволяє простежити, яким чином змінювалися уявлення про освітню місію географії, про природу географічного знання та про способи включення учня в дисциплінарну пізнавальну діяльність. Історія шкільної географії переконує, що зміни в методиці не були випадковими: вони безпосередньо залежали від еволюції самої географічної науки, від суспільного запиту на просторову грамотність, від розвитку компетентнісного підходу та від міжнародних дискусій про місце </w:t>
      </w:r>
      <w:r w:rsidRPr="00AA17A4">
        <w:rPr>
          <w:rFonts w:ascii="Times New Roman" w:hAnsi="Times New Roman" w:cs="Times New Roman"/>
          <w:i/>
          <w:iCs/>
          <w:sz w:val="28"/>
          <w:szCs w:val="28"/>
          <w:lang w:val="uk-UA"/>
        </w:rPr>
        <w:t>inquiry-based learning</w:t>
      </w:r>
      <w:r w:rsidRPr="00AA17A4">
        <w:rPr>
          <w:rFonts w:ascii="Times New Roman" w:hAnsi="Times New Roman" w:cs="Times New Roman"/>
          <w:sz w:val="28"/>
          <w:szCs w:val="28"/>
          <w:lang w:val="uk-UA"/>
        </w:rPr>
        <w:t xml:space="preserve"> у шкільному курсі [31]. Саме тому дослідницьке навчання у географії доцільно розглядати як результат тривалої трансформації предмета – від описово-репродуктивної моделі до моделі, у якій провідного значення набувають запитання, доказ, польове спостереження, аналіз даних, картографічне мислення, інтерпретація просторових закономірностей і рефлексія щодо способів побудови знання [52].</w:t>
      </w:r>
    </w:p>
    <w:p w14:paraId="2C441BA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Специфіка історії дослідницького навчання у шкільній географії полягає в тому, що вона не може бути пояснена лише загальнопедагогічною еволюцією методів. Географія як навчальний предмет завжди перебувала на перетині кількох інтелектуальних традицій: природничої, суспільствознавчої, картографічної, регіональної, країнознавчої, а згодом – просторово-аналітичної та геоінформаційної [46]. Через це дослідницьке навчання в географії формувалося не як механічне перенесення загальної «дослідницької методики» </w:t>
      </w:r>
      <w:r w:rsidRPr="00AA17A4">
        <w:rPr>
          <w:rFonts w:ascii="Times New Roman" w:hAnsi="Times New Roman" w:cs="Times New Roman"/>
          <w:sz w:val="28"/>
          <w:szCs w:val="28"/>
          <w:lang w:val="uk-UA"/>
        </w:rPr>
        <w:lastRenderedPageBreak/>
        <w:t>на предметний ґрунт, а як пошук таких форм організації навчання, які відтворювали б власне географічні способи мислення: виявлення просторових відмінностей, аналіз взаємодії людини і довкілля, роботу з масштабом, місцем, регіоном, ландшафтом, мережею зв’язків і даними різного типу. Історичні студії з еволюції географічних курикулумів показують, що шкільна географія тривалий час тяжіла до статичних регіональних описів, і лише поступово зміщувалася до динамічніших, аналітичних та проблемно-орієнтованих моделей [19].</w:t>
      </w:r>
    </w:p>
    <w:p w14:paraId="4BE5002D"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Інтелектуальні витоки дослідницького навчання в географії слід шукати у ширшій педагогічній традиції рефлексивного й проблемного навчання, пов’язаній передусім з ідеями Джона Дьюї . Для нього пізнання не зводилося до запам’ятовування готових тверджень; воно розгорталося як активне, наполегливе й обґрунтоване просування від сумніву та проблеми до висновку, що витримує перевірку підставами й наслідками [24]. Саме ця логіка – не передача відповіді, а організація шляху до неї – виявилася фундаментальною для пізнішого розвитку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-орієнтованих моделей у шкільній географії. У сучасних матеріалах Географічної асоціації Великої Британії прямо вказується, що географічне </w:t>
      </w:r>
      <w:r w:rsidRPr="00AA17A4">
        <w:rPr>
          <w:rFonts w:ascii="Times New Roman" w:hAnsi="Times New Roman" w:cs="Times New Roman"/>
          <w:i/>
          <w:iCs/>
          <w:sz w:val="28"/>
          <w:szCs w:val="28"/>
          <w:lang w:val="uk-UA"/>
        </w:rPr>
        <w:t>enquiry</w:t>
      </w:r>
      <w:r w:rsidRPr="00AA17A4">
        <w:rPr>
          <w:rFonts w:ascii="Times New Roman" w:hAnsi="Times New Roman" w:cs="Times New Roman"/>
          <w:sz w:val="28"/>
          <w:szCs w:val="28"/>
          <w:lang w:val="uk-UA"/>
        </w:rPr>
        <w:t xml:space="preserve"> спирається на конструктивістську традицію й передбачає, що учні не пасивно відтворюють інформацію, а осмислюють її, ставлять питання, працюють з доказами та формують географічні аргументи [62]. Історично це означало відхід від уроку як каналу готового знання до уроку як простору інтелектуально керованого пошуку.</w:t>
      </w:r>
    </w:p>
    <w:p w14:paraId="2B44A587"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Однак перехід до дослідницької моделі в географії був зумовлений не лише педагогічною теорією, а й внутрішньою кризою традиційного шкільного курсу. Уже в першій половині ХХ століття в англомовній методичній літературі фіксувалася критика географії як дисципліни, перевантаженої переліками фактів, назв і несистемних описів [21]. Показовим у цьому сенсі є рецензійний матеріал у Nature 1925 року, де йшлося про труднощі шкільної географії між надміром фактів і потребою забезпечити учневі цілісне бачення світових умов [47]. У пізніших працях із методики польових досліджень ця критика стала ще чіткішою: наприкінці 1970-х сингапурські дослідники прямо зазначали, що в </w:t>
      </w:r>
      <w:r w:rsidRPr="00AA17A4">
        <w:rPr>
          <w:rFonts w:ascii="Times New Roman" w:hAnsi="Times New Roman" w:cs="Times New Roman"/>
          <w:sz w:val="28"/>
          <w:szCs w:val="28"/>
          <w:lang w:val="uk-UA"/>
        </w:rPr>
        <w:lastRenderedPageBreak/>
        <w:t>багатьох школах географія й далі викладалася як компіляція відомостей про світ, що послаблювало її освітню привабливість. Саме на цьому тлі польове навчання, локальне спостереження і робота з реальною територією почали розглядатися як засіб повернення географії її предметної автентичності [63].</w:t>
      </w:r>
    </w:p>
    <w:p w14:paraId="038EE418"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У європейському, передусім британському, контексті переломний етап розвитку дослідницького навчання у шкільній географії припадає на 1970-1990-ті роки. Географічна асоціація Великої Британії прямо визначає, що </w:t>
      </w:r>
      <w:r w:rsidRPr="00AA17A4">
        <w:rPr>
          <w:rFonts w:ascii="Times New Roman" w:hAnsi="Times New Roman" w:cs="Times New Roman"/>
          <w:i/>
          <w:iCs/>
          <w:sz w:val="28"/>
          <w:szCs w:val="28"/>
          <w:lang w:val="uk-UA"/>
        </w:rPr>
        <w:t>geographical</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enquiry</w:t>
      </w:r>
      <w:r w:rsidRPr="00AA17A4">
        <w:rPr>
          <w:rFonts w:ascii="Times New Roman" w:hAnsi="Times New Roman" w:cs="Times New Roman"/>
          <w:sz w:val="28"/>
          <w:szCs w:val="28"/>
          <w:lang w:val="uk-UA"/>
        </w:rPr>
        <w:t xml:space="preserve"> є характерною рисою шкільної географії від 1970-х років [19]. У цей період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перестає бути лише окремим прийомом активізації уроку і починає осмислюватися як спосіб конструювання самого курикулуму. Програмні проєкти на кшталт Geography 16-19 Project закладали процесуально орієнтований підхід, у якому в центрі опинялися не тільки змістові блоки, а й послідовність географічних запитань, операцій аналізу та прийняття рішень [8]. Власне тому пізніші дослідники констатують, що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у шкільній географії не є новим явищем: його дисциплінарне кодування можна простежити від праць Slater, Naish, Hill та пов’язаних із ними освітніх проєктів. Такий історичний зсув означав, що географія почала дедалі виразніше позиціонуватися не як сховище готових знань про території, а як навчання «мислити географічно» [20].</w:t>
      </w:r>
    </w:p>
    <w:p w14:paraId="1BD11B1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Особливо значущим для історії дослідницького навчання у шкільній географії став розвиток так званого </w:t>
      </w:r>
      <w:r w:rsidRPr="00AA17A4">
        <w:rPr>
          <w:rFonts w:ascii="Times New Roman" w:hAnsi="Times New Roman" w:cs="Times New Roman"/>
          <w:i/>
          <w:iCs/>
          <w:sz w:val="28"/>
          <w:szCs w:val="28"/>
          <w:lang w:val="uk-UA"/>
        </w:rPr>
        <w:t>route for enquiry</w:t>
      </w:r>
      <w:r w:rsidRPr="00AA17A4">
        <w:rPr>
          <w:rFonts w:ascii="Times New Roman" w:hAnsi="Times New Roman" w:cs="Times New Roman"/>
          <w:sz w:val="28"/>
          <w:szCs w:val="28"/>
          <w:lang w:val="uk-UA"/>
        </w:rPr>
        <w:t xml:space="preserve">, тобто послідовності навчальних дій, яка структурує географічне дослідження від початкового спостереження і постановки питання до пояснення, оцінювання та особистісного висновку [58]. Сучасні британські матеріали для підготовки вчителів наголошують, що цей маршрут спочатку був розроблений у межах Geography 16–19 Project наприкінці 1970-х років і надалі став надзвичайно впливовим у польових дослідженнях, курсах GCSE та A-level [45]. У цьому підході надзвичайно важливою є не жорстка алгоритмізація, а дисциплінарна логіка: учень має не просто «зібрати матеріал», а пройти крізь ієрархію географічних запитань – від «що?» і «де?» до «чому саме тут?», «які наслідки?» і «яке рішення </w:t>
      </w:r>
      <w:r w:rsidRPr="00AA17A4">
        <w:rPr>
          <w:rFonts w:ascii="Times New Roman" w:hAnsi="Times New Roman" w:cs="Times New Roman"/>
          <w:sz w:val="28"/>
          <w:szCs w:val="28"/>
          <w:lang w:val="uk-UA"/>
        </w:rPr>
        <w:lastRenderedPageBreak/>
        <w:t>є обґрунтованим?». Саме ця рамка перетворила польову роботу з позакласної екскурсії на методично спроєктовану форму доказового мислення [14].</w:t>
      </w:r>
    </w:p>
    <w:p w14:paraId="400978A1"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У США історія розвитку дослідницького навчання в шкільній географії мала дещо іншу траєкторію, але привела до споріднених висновків. Важливим етапом став проєкт Geographic Inquiry into Global Issues (GIGI), створений у Центрі географічної освіти Університету Колорадо за підтримки Національного наукового фонду. Його матеріали, апробовані в шкільних класах, були побудовані навколо глобальних проблемних питань і географічного способу їх дослідження [18]. В описах проєкту наголошувалося, що він поєднує географічні концепти, критичне мислення та громадянську освіту; саме inquiry визначався як його педагогічна основа. Американська модель тим самим засвідчила, що дослідницьке навчання в географії може бути пов’язане не лише з фізичною географією чи польовими спостереженнями, а й з аналізом складних глобальних проблем, порівняльних кейсів, оцінкою альтернатив та суспільно значущих рішень [22].</w:t>
      </w:r>
    </w:p>
    <w:p w14:paraId="46659D91"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Поступове інституційне оформлення дослідницької орієнтації шкільної географії відбулося завдяки міжнародним професійним документам. Особливе місце тут належить Міжнародній хартії географічної освіти Міжнародного географічного союзу 1992 року, яка стала орієнтиром для міжнародних порівнянь курикулумів, та її оновленій редакції 2016 року, що врахувала зміни в дисципліні, суспільстві й географічній освіті та доповнила попередні положення планом дій [1; 2]. До цієї ж лінії належать Римська декларація з географічної освіти в Європі 2013 року, яка наголосила на ролі географічних знань і геопросторових технологій для активного громадянства й аналізу складних суспільно-природних викликів, а також Міжнародна декларація з досліджень у географічній освіті 2015 року, що вже прямо пов’язувала якість шкільної географії з розвитком систематичних наукових досліджень у цій галузі. У підсумку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перестало бути лише національною методичною тенденцією й дістало міжнародне легітимування як принцип сучасної географічної освіти [51].</w:t>
      </w:r>
    </w:p>
    <w:p w14:paraId="435A9EC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lastRenderedPageBreak/>
        <w:t xml:space="preserve">На межі ХХ–ХХІ століть відбувається ще один важливий зсув: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у шкільній географії дедалі частіше тлумачиться не просто як активний або учнецентрований метод, а як форма входження до дисциплінарних способів мислення. У межах сучасних дискусій про </w:t>
      </w:r>
      <w:r w:rsidRPr="00AA17A4">
        <w:rPr>
          <w:rFonts w:ascii="Times New Roman" w:hAnsi="Times New Roman" w:cs="Times New Roman"/>
          <w:i/>
          <w:iCs/>
          <w:sz w:val="28"/>
          <w:szCs w:val="28"/>
          <w:lang w:val="uk-UA"/>
        </w:rPr>
        <w:t>powerful disciplinary knowledge</w:t>
      </w:r>
      <w:r w:rsidRPr="00AA17A4">
        <w:rPr>
          <w:rFonts w:ascii="Times New Roman" w:hAnsi="Times New Roman" w:cs="Times New Roman"/>
          <w:sz w:val="28"/>
          <w:szCs w:val="28"/>
          <w:lang w:val="uk-UA"/>
        </w:rPr>
        <w:t xml:space="preserve"> та GeoCapabilities дослідницька діяльність розглядається як механізм, через який учень набуває здатності бачити світ не на рівні повсякденної очевидності, а на рівні географічного пояснення, аналізу, критики й аргументації [6]. Проєкт GeoCapabilities прямо виходить з того, що школа має надавати доступ до такого географічного знання, яке розширює свободу орієнтації в суспільстві та довкіллі [61]. У недавніх дослідженнях підкреслюється, що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є ключем до переживання і розвитку потужного географічного знання, оскільки саме дисциплінарне запитування, робота з доказом і географічна аргументація надають змістовій частині предмета її освітню силу. Це означає, що сучасне дослідницьке навчання у географії дедалі менше ототожнюється з «вільним пошуком» і дедалі більше – з дисциплінарно керованою побудовою знання [30].</w:t>
      </w:r>
    </w:p>
    <w:p w14:paraId="068A806E"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Британський досвід на сучасному етапі демонструє одну з найпослідовніших моделей поєднання предметного змісту, польової роботи і дослідницької логіки. Національний курикулум Англії визначає географію як дисципліну, що має формувати не тільки знання про місця, процеси й ресурси, а й компетентність у збиранні, аналізі та комунікації даних, отриманих через </w:t>
      </w:r>
      <w:r w:rsidRPr="00AA17A4">
        <w:rPr>
          <w:rFonts w:ascii="Times New Roman" w:hAnsi="Times New Roman" w:cs="Times New Roman"/>
          <w:i/>
          <w:iCs/>
          <w:sz w:val="28"/>
          <w:szCs w:val="28"/>
          <w:lang w:val="uk-UA"/>
        </w:rPr>
        <w:t>fieldwork</w:t>
      </w:r>
      <w:r w:rsidRPr="00AA17A4">
        <w:rPr>
          <w:rFonts w:ascii="Times New Roman" w:hAnsi="Times New Roman" w:cs="Times New Roman"/>
          <w:sz w:val="28"/>
          <w:szCs w:val="28"/>
          <w:lang w:val="uk-UA"/>
        </w:rPr>
        <w:t xml:space="preserve">, а також у використанні карт, аерофотознімків і GIS [36]. Дослідницький огляд Ofsted з географії уточнює, що високоякісна географічна освіта має поєднувати </w:t>
      </w:r>
      <w:r w:rsidRPr="00AA17A4">
        <w:rPr>
          <w:rFonts w:ascii="Times New Roman" w:hAnsi="Times New Roman" w:cs="Times New Roman"/>
          <w:i/>
          <w:iCs/>
          <w:sz w:val="28"/>
          <w:szCs w:val="28"/>
          <w:lang w:val="uk-UA"/>
        </w:rPr>
        <w:t>substantive і disciplinary knowledge, а enquiry-based learning</w:t>
      </w:r>
      <w:r w:rsidRPr="00AA17A4">
        <w:rPr>
          <w:rFonts w:ascii="Times New Roman" w:hAnsi="Times New Roman" w:cs="Times New Roman"/>
          <w:sz w:val="28"/>
          <w:szCs w:val="28"/>
          <w:lang w:val="uk-UA"/>
        </w:rPr>
        <w:t xml:space="preserve"> за належного добору змісту й учительського керівництва сприяє тому, що учні вчаться ставити географічні запитання, критикувати джерела і рефлексувати над методами пізнання. У британській професійній традиції enquiry не протиставляється «</w:t>
      </w:r>
      <w:r w:rsidRPr="00AA17A4">
        <w:rPr>
          <w:rFonts w:ascii="Times New Roman" w:hAnsi="Times New Roman" w:cs="Times New Roman"/>
          <w:i/>
          <w:iCs/>
          <w:sz w:val="28"/>
          <w:szCs w:val="28"/>
          <w:lang w:val="uk-UA"/>
        </w:rPr>
        <w:t>knowledge-rich curriculum</w:t>
      </w:r>
      <w:r w:rsidRPr="00AA17A4">
        <w:rPr>
          <w:rFonts w:ascii="Times New Roman" w:hAnsi="Times New Roman" w:cs="Times New Roman"/>
          <w:sz w:val="28"/>
          <w:szCs w:val="28"/>
          <w:lang w:val="uk-UA"/>
        </w:rPr>
        <w:t>», а розглядається як спосіб навчити застосовувати знання географічно [44]. Саме тому шкільна географія у Великій Британії сьогодні є одним із найрепрезентативніших прикладів інтеграції змісту, польового дослідження, доказу і рефлексії в єдину освітню модель.</w:t>
      </w:r>
    </w:p>
    <w:p w14:paraId="0A6DB5A9"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lastRenderedPageBreak/>
        <w:t xml:space="preserve">Американський досвід, хоча й розвивався в іншій нормативній системі, також показує високий ступінь інституціоналізації дослідницького навчання. У </w:t>
      </w:r>
      <w:r w:rsidRPr="00AA17A4">
        <w:rPr>
          <w:rFonts w:ascii="Times New Roman" w:hAnsi="Times New Roman" w:cs="Times New Roman"/>
          <w:i/>
          <w:iCs/>
          <w:sz w:val="28"/>
          <w:szCs w:val="28"/>
          <w:lang w:val="uk-UA"/>
        </w:rPr>
        <w:t>Geography for Life: National Geography Standards</w:t>
      </w:r>
      <w:r w:rsidRPr="00AA17A4">
        <w:rPr>
          <w:rFonts w:ascii="Times New Roman" w:hAnsi="Times New Roman" w:cs="Times New Roman"/>
          <w:sz w:val="28"/>
          <w:szCs w:val="28"/>
          <w:lang w:val="uk-UA"/>
        </w:rPr>
        <w:t xml:space="preserve"> географічна грамотність визначається через поєднання фактологічного знання, ментальних карт, просторового мислення і способів міркування; стандарти безпосередньо пов’язують географічну освіту зі здатністю ухвалювати рішення щодо середовища, ресурсів, розміщення, мобільності й суспільної взаємодії [37]. У C3 </w:t>
      </w:r>
      <w:r w:rsidRPr="00AA17A4">
        <w:rPr>
          <w:rFonts w:ascii="Times New Roman" w:hAnsi="Times New Roman" w:cs="Times New Roman"/>
          <w:i/>
          <w:iCs/>
          <w:sz w:val="28"/>
          <w:szCs w:val="28"/>
          <w:lang w:val="uk-UA"/>
        </w:rPr>
        <w:t>Framework for Social Studies State Standards</w:t>
      </w:r>
      <w:r w:rsidRPr="00AA17A4">
        <w:rPr>
          <w:rFonts w:ascii="Times New Roman" w:hAnsi="Times New Roman" w:cs="Times New Roman"/>
          <w:sz w:val="28"/>
          <w:szCs w:val="28"/>
          <w:lang w:val="uk-UA"/>
        </w:rPr>
        <w:t xml:space="preserve"> географічне міркування прямо пов’язується з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наголошується, що </w:t>
      </w:r>
      <w:r w:rsidRPr="00AA17A4">
        <w:rPr>
          <w:rFonts w:ascii="Times New Roman" w:hAnsi="Times New Roman" w:cs="Times New Roman"/>
          <w:i/>
          <w:iCs/>
          <w:sz w:val="28"/>
          <w:szCs w:val="28"/>
          <w:lang w:val="uk-UA"/>
        </w:rPr>
        <w:t>geographic inquiry</w:t>
      </w:r>
      <w:r w:rsidRPr="00AA17A4">
        <w:rPr>
          <w:rFonts w:ascii="Times New Roman" w:hAnsi="Times New Roman" w:cs="Times New Roman"/>
          <w:sz w:val="28"/>
          <w:szCs w:val="28"/>
          <w:lang w:val="uk-UA"/>
        </w:rPr>
        <w:t xml:space="preserve"> допомагає людям зрозуміти власне місце у світі, а географічне мислення вимагає питань, просторової перспективи, роботи з картами, зображеннями й геотехнологіями. Для шкільної географії США це означає зміщення акценту з опанування карти світу як статичної моделі до роботи з нею як з інструментом дослідження, аргументації та громадянської участі [91]. Американська традиція особливо виразно пов’язує дослідницьке навчання в географії з ідеєю </w:t>
      </w:r>
      <w:r w:rsidRPr="00AA17A4">
        <w:rPr>
          <w:rFonts w:ascii="Times New Roman" w:hAnsi="Times New Roman" w:cs="Times New Roman"/>
          <w:i/>
          <w:iCs/>
          <w:sz w:val="28"/>
          <w:szCs w:val="28"/>
          <w:lang w:val="uk-UA"/>
        </w:rPr>
        <w:t>civic literacy</w:t>
      </w:r>
      <w:r w:rsidRPr="00AA17A4">
        <w:rPr>
          <w:rFonts w:ascii="Times New Roman" w:hAnsi="Times New Roman" w:cs="Times New Roman"/>
          <w:sz w:val="28"/>
          <w:szCs w:val="28"/>
          <w:lang w:val="uk-UA"/>
        </w:rPr>
        <w:t>, тобто з підготовкою просторово грамотного громадянина.</w:t>
      </w:r>
    </w:p>
    <w:p w14:paraId="2DDEC2A0"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Австралійська модель є показовою з огляду на те, що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у ній закладено не як периферійний дидактичний інструмент, а як один із двох базових структурних вимірів предмета. В актуальному Австралійському курикулумі географія організована через два взаємопов’язані напрями – </w:t>
      </w:r>
      <w:r w:rsidRPr="00AA17A4">
        <w:rPr>
          <w:rFonts w:ascii="Times New Roman" w:hAnsi="Times New Roman" w:cs="Times New Roman"/>
          <w:i/>
          <w:iCs/>
          <w:sz w:val="28"/>
          <w:szCs w:val="28"/>
          <w:lang w:val="uk-UA"/>
        </w:rPr>
        <w:t>Knowledge</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and</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understanding</w:t>
      </w:r>
      <w:r w:rsidRPr="00AA17A4">
        <w:rPr>
          <w:rFonts w:ascii="Times New Roman" w:hAnsi="Times New Roman" w:cs="Times New Roman"/>
          <w:sz w:val="28"/>
          <w:szCs w:val="28"/>
          <w:lang w:val="uk-UA"/>
        </w:rPr>
        <w:t xml:space="preserve"> і </w:t>
      </w:r>
      <w:r w:rsidRPr="00AA17A4">
        <w:rPr>
          <w:rFonts w:ascii="Times New Roman" w:hAnsi="Times New Roman" w:cs="Times New Roman"/>
          <w:i/>
          <w:iCs/>
          <w:sz w:val="28"/>
          <w:szCs w:val="28"/>
          <w:lang w:val="uk-UA"/>
        </w:rPr>
        <w:t>Skills</w:t>
      </w:r>
      <w:r w:rsidRPr="00AA17A4">
        <w:rPr>
          <w:rFonts w:ascii="Times New Roman" w:hAnsi="Times New Roman" w:cs="Times New Roman"/>
          <w:sz w:val="28"/>
          <w:szCs w:val="28"/>
          <w:lang w:val="uk-UA"/>
        </w:rPr>
        <w:t xml:space="preserve">; при цьому прямо наголошується, що ключові навички географії охоплюють постановку запитань, використання географічних методів, репрезентацію даних, застосування геопросторових і цифрових технологій, інтерпретацію, аналіз, оцінювання, ухвалення рішень і комунікацію висновків [60]. Попередня редакція курикулуму ще чіткіше називала другий напрям </w:t>
      </w:r>
      <w:r w:rsidRPr="00AA17A4">
        <w:rPr>
          <w:rFonts w:ascii="Times New Roman" w:hAnsi="Times New Roman" w:cs="Times New Roman"/>
          <w:i/>
          <w:iCs/>
          <w:sz w:val="28"/>
          <w:szCs w:val="28"/>
          <w:lang w:val="uk-UA"/>
        </w:rPr>
        <w:t>geographical</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and</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skills</w:t>
      </w:r>
      <w:r w:rsidRPr="00AA17A4">
        <w:rPr>
          <w:rFonts w:ascii="Times New Roman" w:hAnsi="Times New Roman" w:cs="Times New Roman"/>
          <w:sz w:val="28"/>
          <w:szCs w:val="28"/>
          <w:lang w:val="uk-UA"/>
        </w:rPr>
        <w:t xml:space="preserve">, що відображає безперервність самої ідеї. Австралійські дослідження підкреслюють, що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тут розглядається як провідний шлях до розвитку </w:t>
      </w:r>
      <w:r w:rsidRPr="00AA17A4">
        <w:rPr>
          <w:rFonts w:ascii="Times New Roman" w:hAnsi="Times New Roman" w:cs="Times New Roman"/>
          <w:i/>
          <w:iCs/>
          <w:sz w:val="28"/>
          <w:szCs w:val="28"/>
          <w:lang w:val="uk-UA"/>
        </w:rPr>
        <w:t>geographic thinking</w:t>
      </w:r>
      <w:r w:rsidRPr="00AA17A4">
        <w:rPr>
          <w:rFonts w:ascii="Times New Roman" w:hAnsi="Times New Roman" w:cs="Times New Roman"/>
          <w:sz w:val="28"/>
          <w:szCs w:val="28"/>
          <w:lang w:val="uk-UA"/>
        </w:rPr>
        <w:t xml:space="preserve"> і </w:t>
      </w:r>
      <w:r w:rsidRPr="00AA17A4">
        <w:rPr>
          <w:rFonts w:ascii="Times New Roman" w:hAnsi="Times New Roman" w:cs="Times New Roman"/>
          <w:i/>
          <w:iCs/>
          <w:sz w:val="28"/>
          <w:szCs w:val="28"/>
          <w:lang w:val="uk-UA"/>
        </w:rPr>
        <w:t>conceptual</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understanding</w:t>
      </w:r>
      <w:r w:rsidRPr="00AA17A4">
        <w:rPr>
          <w:rFonts w:ascii="Times New Roman" w:hAnsi="Times New Roman" w:cs="Times New Roman"/>
          <w:sz w:val="28"/>
          <w:szCs w:val="28"/>
          <w:lang w:val="uk-UA"/>
        </w:rPr>
        <w:t xml:space="preserve">, а в шкільній практиці воно дедалі частіше інтерпретується в поєднанні з підходами </w:t>
      </w:r>
      <w:r w:rsidRPr="00AA17A4">
        <w:rPr>
          <w:rFonts w:ascii="Times New Roman" w:hAnsi="Times New Roman" w:cs="Times New Roman"/>
          <w:i/>
          <w:iCs/>
          <w:sz w:val="28"/>
          <w:szCs w:val="28"/>
          <w:lang w:val="uk-UA"/>
        </w:rPr>
        <w:t>powerful knowledge</w:t>
      </w:r>
      <w:r w:rsidRPr="00AA17A4">
        <w:rPr>
          <w:rFonts w:ascii="Times New Roman" w:hAnsi="Times New Roman" w:cs="Times New Roman"/>
          <w:sz w:val="28"/>
          <w:szCs w:val="28"/>
          <w:lang w:val="uk-UA"/>
        </w:rPr>
        <w:t xml:space="preserve"> і </w:t>
      </w:r>
      <w:r w:rsidRPr="00AA17A4">
        <w:rPr>
          <w:rFonts w:ascii="Times New Roman" w:hAnsi="Times New Roman" w:cs="Times New Roman"/>
          <w:i/>
          <w:iCs/>
          <w:sz w:val="28"/>
          <w:szCs w:val="28"/>
          <w:lang w:val="uk-UA"/>
        </w:rPr>
        <w:t xml:space="preserve">curriculum making </w:t>
      </w:r>
      <w:r w:rsidRPr="00AA17A4">
        <w:rPr>
          <w:rFonts w:ascii="Times New Roman" w:hAnsi="Times New Roman" w:cs="Times New Roman"/>
          <w:sz w:val="28"/>
          <w:szCs w:val="28"/>
          <w:lang w:val="uk-UA"/>
        </w:rPr>
        <w:t xml:space="preserve">[30]. Таким чином, австралійський досвід </w:t>
      </w:r>
      <w:r w:rsidRPr="00AA17A4">
        <w:rPr>
          <w:rFonts w:ascii="Times New Roman" w:hAnsi="Times New Roman" w:cs="Times New Roman"/>
          <w:sz w:val="28"/>
          <w:szCs w:val="28"/>
          <w:lang w:val="uk-UA"/>
        </w:rPr>
        <w:lastRenderedPageBreak/>
        <w:t>демонструє особливо вдале нормативне поєднання концептуального змісту, практичних методів і цифрового інструментарію.</w:t>
      </w:r>
    </w:p>
    <w:p w14:paraId="55DD50BC"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Сінгапурський досвід заслуговує на окрему увагу, оскільки тут дослідницьке навчання в географії отримало надзвичайно чітке методичне оформлення. У програмах нижчої та старшої середньої школи Міністерства освіти Сінгапуру рекомендованим підходом до викладання географії визначено Geographical Inquiry Process, що складається з чотирьох стадій: </w:t>
      </w:r>
      <w:r w:rsidRPr="00AA17A4">
        <w:rPr>
          <w:rFonts w:ascii="Times New Roman" w:hAnsi="Times New Roman" w:cs="Times New Roman"/>
          <w:i/>
          <w:iCs/>
          <w:sz w:val="28"/>
          <w:szCs w:val="28"/>
          <w:lang w:val="uk-UA"/>
        </w:rPr>
        <w:t>sparking curiosity</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gathering data, exercising reasoning і reflective thinking</w:t>
      </w:r>
      <w:r w:rsidRPr="00AA17A4">
        <w:rPr>
          <w:rFonts w:ascii="Times New Roman" w:hAnsi="Times New Roman" w:cs="Times New Roman"/>
          <w:sz w:val="28"/>
          <w:szCs w:val="28"/>
          <w:lang w:val="uk-UA"/>
        </w:rPr>
        <w:t xml:space="preserve">. У програмі прямо наголошується, що процес ґрунтується на необхідності поставити запитання, зібрати докази, осмислити дані в контексті поставленої проблеми й повернутися до рефлексії над способом навчання і висновками. Науковий аналіз сінгапурської практики додатково характеризує </w:t>
      </w:r>
      <w:r w:rsidRPr="00AA17A4">
        <w:rPr>
          <w:rFonts w:ascii="Times New Roman" w:hAnsi="Times New Roman" w:cs="Times New Roman"/>
          <w:i/>
          <w:iCs/>
          <w:sz w:val="28"/>
          <w:szCs w:val="28"/>
          <w:lang w:val="uk-UA"/>
        </w:rPr>
        <w:t>field-based inquiry</w:t>
      </w:r>
      <w:r w:rsidRPr="00AA17A4">
        <w:rPr>
          <w:rFonts w:ascii="Times New Roman" w:hAnsi="Times New Roman" w:cs="Times New Roman"/>
          <w:sz w:val="28"/>
          <w:szCs w:val="28"/>
          <w:lang w:val="uk-UA"/>
        </w:rPr>
        <w:t xml:space="preserve"> як «</w:t>
      </w:r>
      <w:r w:rsidRPr="00AA17A4">
        <w:rPr>
          <w:rFonts w:ascii="Times New Roman" w:hAnsi="Times New Roman" w:cs="Times New Roman"/>
          <w:i/>
          <w:iCs/>
          <w:sz w:val="28"/>
          <w:szCs w:val="28"/>
          <w:lang w:val="uk-UA"/>
        </w:rPr>
        <w:t>signature pedagogy</w:t>
      </w:r>
      <w:r w:rsidRPr="00AA17A4">
        <w:rPr>
          <w:rFonts w:ascii="Times New Roman" w:hAnsi="Times New Roman" w:cs="Times New Roman"/>
          <w:sz w:val="28"/>
          <w:szCs w:val="28"/>
          <w:lang w:val="uk-UA"/>
        </w:rPr>
        <w:t xml:space="preserve">» шкільної географії. Важливо, що сінгапурська модель поєднує високу структурованість із виразною діяльнісною спрямованістю: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не ототожнюється з імпровізацією, а розглядається як педагогічно дисциплінований процес входження учня в предмет [49].</w:t>
      </w:r>
    </w:p>
    <w:p w14:paraId="266F299E"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Фінський і ширше північноєвропейський досвід демонструє іншу, але не менш продуктивну траєкторію розвитку дослідницького навчання в географії. Національний базовий курикулум Фінляндії поєднує предметну структуру з розвиненою системою </w:t>
      </w:r>
      <w:r w:rsidRPr="00AA17A4">
        <w:rPr>
          <w:rFonts w:ascii="Times New Roman" w:hAnsi="Times New Roman" w:cs="Times New Roman"/>
          <w:i/>
          <w:iCs/>
          <w:sz w:val="28"/>
          <w:szCs w:val="28"/>
          <w:lang w:val="uk-UA"/>
        </w:rPr>
        <w:t>transversal competences</w:t>
      </w:r>
      <w:r w:rsidRPr="00AA17A4">
        <w:rPr>
          <w:rFonts w:ascii="Times New Roman" w:hAnsi="Times New Roman" w:cs="Times New Roman"/>
          <w:sz w:val="28"/>
          <w:szCs w:val="28"/>
          <w:lang w:val="uk-UA"/>
        </w:rPr>
        <w:t xml:space="preserve">, мультилітераційністю, ICT </w:t>
      </w:r>
      <w:r w:rsidRPr="00AA17A4">
        <w:rPr>
          <w:rFonts w:ascii="Times New Roman" w:hAnsi="Times New Roman" w:cs="Times New Roman"/>
          <w:i/>
          <w:iCs/>
          <w:sz w:val="28"/>
          <w:szCs w:val="28"/>
          <w:lang w:val="uk-UA"/>
        </w:rPr>
        <w:t>competence</w:t>
      </w:r>
      <w:r w:rsidRPr="00AA17A4">
        <w:rPr>
          <w:rFonts w:ascii="Times New Roman" w:hAnsi="Times New Roman" w:cs="Times New Roman"/>
          <w:sz w:val="28"/>
          <w:szCs w:val="28"/>
          <w:lang w:val="uk-UA"/>
        </w:rPr>
        <w:t xml:space="preserve">, щорічними міждисциплінарними модулями та активною участю учнів у постановці цілей, розв’язанні проблем і самооцінюванні [35]. Така організація не завжди формулює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як окремий «брендований» процес, однак фактично створює для нього сильні передумови: навчання орієнтується на активне здобування знань, експериментування, </w:t>
      </w:r>
      <w:r w:rsidRPr="00AA17A4">
        <w:rPr>
          <w:rFonts w:ascii="Times New Roman" w:hAnsi="Times New Roman" w:cs="Times New Roman"/>
          <w:i/>
          <w:iCs/>
          <w:sz w:val="28"/>
          <w:szCs w:val="28"/>
          <w:lang w:val="uk-UA"/>
        </w:rPr>
        <w:t>exploration</w:t>
      </w:r>
      <w:r w:rsidRPr="00AA17A4">
        <w:rPr>
          <w:rFonts w:ascii="Times New Roman" w:hAnsi="Times New Roman" w:cs="Times New Roman"/>
          <w:sz w:val="28"/>
          <w:szCs w:val="28"/>
          <w:lang w:val="uk-UA"/>
        </w:rPr>
        <w:t xml:space="preserve"> та використання різних видів текстів і медіа. У фінській географічній освіті дедалі більшої ваги набуває поняття </w:t>
      </w:r>
      <w:r w:rsidRPr="00AA17A4">
        <w:rPr>
          <w:rFonts w:ascii="Times New Roman" w:hAnsi="Times New Roman" w:cs="Times New Roman"/>
          <w:i/>
          <w:iCs/>
          <w:sz w:val="28"/>
          <w:szCs w:val="28"/>
          <w:lang w:val="uk-UA"/>
        </w:rPr>
        <w:t>geomedia</w:t>
      </w:r>
      <w:r w:rsidRPr="00AA17A4">
        <w:rPr>
          <w:rFonts w:ascii="Times New Roman" w:hAnsi="Times New Roman" w:cs="Times New Roman"/>
          <w:sz w:val="28"/>
          <w:szCs w:val="28"/>
          <w:lang w:val="uk-UA"/>
        </w:rPr>
        <w:t xml:space="preserve"> – інтегративне означення карт, статистики, візуальних і цифрових матеріалів, критичне опрацювання яких пов’язується з географічним мисленням і підготовкою до життя в інформаційно перенасиченому суспільстві [34]. У цьому випадку дослідницьке навчання розгортається через сильний </w:t>
      </w:r>
      <w:r w:rsidRPr="00AA17A4">
        <w:rPr>
          <w:rFonts w:ascii="Times New Roman" w:hAnsi="Times New Roman" w:cs="Times New Roman"/>
          <w:sz w:val="28"/>
          <w:szCs w:val="28"/>
          <w:lang w:val="uk-UA"/>
        </w:rPr>
        <w:lastRenderedPageBreak/>
        <w:t>зв’язок географії з мультилітераційністю, критичним читанням геомедіа та міжпредметною проблематикою [25].</w:t>
      </w:r>
    </w:p>
    <w:p w14:paraId="119C6CC4"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Новітній етап розвитку дослідницького навчання у шкільній географії пов’язаний із цифровими геотехнологіями, WebGIS та формуванням просторового громадянства. Якщо для попередніх етапів ключовим було насамперед польове спостереження й робота з традиційною картою, то сучасна школа дедалі активніше використовує інтерактивні карти, геосервіси, цифрові шари даних, мобільні додатки, супутникові знімки й онлайн-візуалізації [13]. У дослідженні Mary Fargher підкреслено, що WebGIS трансформує способи використання геопросторової інформації в школі й відкриває нові можливості для geography education у руслі GeoCapabilities. Дослідження з просторового громадянства, своєю чергою, показують, що вміння критично використовувати геомедіа, інтерпретувати просторові репрезентації та брати участь у прийнятті рішень щодо простору стає важливим освітнім результатом [48</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 Такий зсув означає, що дослідницьке навчання в географії перестає обмежуватися класичним «збиранням даних» і дедалі більше охоплює цифрову аналітику, критичну візуальну грамотність і суспільну практичність географічного знання [42].</w:t>
      </w:r>
    </w:p>
    <w:p w14:paraId="390550ED"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Попри всю різноманітність національних моделей, центральним стрижнем дослідницького навчання у шкільній географії лишається польова робота. Її історична еволюція показує, що </w:t>
      </w:r>
      <w:r w:rsidRPr="00AA17A4">
        <w:rPr>
          <w:rFonts w:ascii="Times New Roman" w:hAnsi="Times New Roman" w:cs="Times New Roman"/>
          <w:i/>
          <w:iCs/>
          <w:sz w:val="28"/>
          <w:szCs w:val="28"/>
          <w:lang w:val="uk-UA"/>
        </w:rPr>
        <w:t>fieldwork</w:t>
      </w:r>
      <w:r w:rsidRPr="00AA17A4">
        <w:rPr>
          <w:rFonts w:ascii="Times New Roman" w:hAnsi="Times New Roman" w:cs="Times New Roman"/>
          <w:sz w:val="28"/>
          <w:szCs w:val="28"/>
          <w:lang w:val="uk-UA"/>
        </w:rPr>
        <w:t xml:space="preserve"> поступово змінила свій статус: від навчальної поїздки, покликаної «оживити» урок, до дисциплінарно значущого способу географічного пізнання [49]. У професійній англомовній літературі поле дедалі частіше описується як простір, де учень входить у реальний світ спостереження, порівняння, вимірювання, інтерпретації й оцінки. Саме тому сучасні британські, австралійські та сінгапурські підходи розглядають польове дослідження не як доповнення до </w:t>
      </w:r>
      <w:r w:rsidRPr="00AA17A4">
        <w:rPr>
          <w:rFonts w:ascii="Times New Roman" w:hAnsi="Times New Roman" w:cs="Times New Roman"/>
          <w:i/>
          <w:iCs/>
          <w:sz w:val="28"/>
          <w:szCs w:val="28"/>
          <w:lang w:val="uk-UA"/>
        </w:rPr>
        <w:t>enquiry</w:t>
      </w:r>
      <w:r w:rsidRPr="00AA17A4">
        <w:rPr>
          <w:rFonts w:ascii="Times New Roman" w:hAnsi="Times New Roman" w:cs="Times New Roman"/>
          <w:sz w:val="28"/>
          <w:szCs w:val="28"/>
          <w:lang w:val="uk-UA"/>
        </w:rPr>
        <w:t xml:space="preserve">, а як його органічну форму [21]. У британській традиції </w:t>
      </w:r>
      <w:r w:rsidRPr="00AA17A4">
        <w:rPr>
          <w:rFonts w:ascii="Times New Roman" w:hAnsi="Times New Roman" w:cs="Times New Roman"/>
          <w:i/>
          <w:iCs/>
          <w:sz w:val="28"/>
          <w:szCs w:val="28"/>
          <w:lang w:val="uk-UA"/>
        </w:rPr>
        <w:t>fieldwork</w:t>
      </w:r>
      <w:r w:rsidRPr="00AA17A4">
        <w:rPr>
          <w:rFonts w:ascii="Times New Roman" w:hAnsi="Times New Roman" w:cs="Times New Roman"/>
          <w:sz w:val="28"/>
          <w:szCs w:val="28"/>
          <w:lang w:val="uk-UA"/>
        </w:rPr>
        <w:t xml:space="preserve"> через </w:t>
      </w:r>
      <w:r w:rsidRPr="00AA17A4">
        <w:rPr>
          <w:rFonts w:ascii="Times New Roman" w:hAnsi="Times New Roman" w:cs="Times New Roman"/>
          <w:i/>
          <w:iCs/>
          <w:sz w:val="28"/>
          <w:szCs w:val="28"/>
          <w:lang w:val="uk-UA"/>
        </w:rPr>
        <w:t>enquiry</w:t>
      </w:r>
      <w:r w:rsidRPr="00AA17A4">
        <w:rPr>
          <w:rFonts w:ascii="Times New Roman" w:hAnsi="Times New Roman" w:cs="Times New Roman"/>
          <w:sz w:val="28"/>
          <w:szCs w:val="28"/>
          <w:lang w:val="uk-UA"/>
        </w:rPr>
        <w:t xml:space="preserve"> тісно пов’язане з іспитовими вимогами та формуванням дослідницьких умінь упродовж усієї середньої школи; у сінгапурській – воно осмислюється як </w:t>
      </w:r>
      <w:r w:rsidRPr="00AA17A4">
        <w:rPr>
          <w:rFonts w:ascii="Times New Roman" w:hAnsi="Times New Roman" w:cs="Times New Roman"/>
          <w:i/>
          <w:iCs/>
          <w:sz w:val="28"/>
          <w:szCs w:val="28"/>
          <w:lang w:val="uk-UA"/>
        </w:rPr>
        <w:t>signature</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pedagogy</w:t>
      </w:r>
      <w:r w:rsidRPr="00AA17A4">
        <w:rPr>
          <w:rFonts w:ascii="Times New Roman" w:hAnsi="Times New Roman" w:cs="Times New Roman"/>
          <w:sz w:val="28"/>
          <w:szCs w:val="28"/>
          <w:lang w:val="uk-UA"/>
        </w:rPr>
        <w:t xml:space="preserve">; у </w:t>
      </w:r>
      <w:r w:rsidRPr="00AA17A4">
        <w:rPr>
          <w:rFonts w:ascii="Times New Roman" w:hAnsi="Times New Roman" w:cs="Times New Roman"/>
          <w:sz w:val="28"/>
          <w:szCs w:val="28"/>
          <w:lang w:val="uk-UA"/>
        </w:rPr>
        <w:lastRenderedPageBreak/>
        <w:t xml:space="preserve">міжнародних оглядах наголошується, що значення </w:t>
      </w:r>
      <w:r w:rsidRPr="00AA17A4">
        <w:rPr>
          <w:rFonts w:ascii="Times New Roman" w:hAnsi="Times New Roman" w:cs="Times New Roman"/>
          <w:i/>
          <w:iCs/>
          <w:sz w:val="28"/>
          <w:szCs w:val="28"/>
          <w:lang w:val="uk-UA"/>
        </w:rPr>
        <w:t>fieldwork</w:t>
      </w:r>
      <w:r w:rsidRPr="00AA17A4">
        <w:rPr>
          <w:rFonts w:ascii="Times New Roman" w:hAnsi="Times New Roman" w:cs="Times New Roman"/>
          <w:sz w:val="28"/>
          <w:szCs w:val="28"/>
          <w:lang w:val="uk-UA"/>
        </w:rPr>
        <w:t xml:space="preserve"> зберігається глобально, навіть попри різні теоретичні інтерпретації та технологічні зміни. Такий досвід переконує, що географія без безпосереднього контакту з місцем ризикує втратити свою предметну унікальність [56].</w:t>
      </w:r>
    </w:p>
    <w:p w14:paraId="1BFE7701"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Порівняльний аналіз засвідчує, що світовий розвиток дослідницького навчання в шкільній географії має кілька стійких спільних ознак. По-перше, в усіх успішних моделях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прив’язується до дисциплінарної специфіки географії, а не трактується як універсальна нейтральна технологія [31</w:t>
      </w:r>
      <w:r w:rsidRPr="00AA17A4">
        <w:rPr>
          <w:rFonts w:ascii="Times New Roman" w:hAnsi="Times New Roman" w:cs="Times New Roman"/>
          <w:sz w:val="28"/>
          <w:szCs w:val="28"/>
        </w:rPr>
        <w:t>]</w:t>
      </w:r>
      <w:r w:rsidRPr="00AA17A4">
        <w:rPr>
          <w:rFonts w:ascii="Times New Roman" w:hAnsi="Times New Roman" w:cs="Times New Roman"/>
          <w:sz w:val="28"/>
          <w:szCs w:val="28"/>
          <w:lang w:val="uk-UA"/>
        </w:rPr>
        <w:t xml:space="preserve">. По-друге, у більшості сучасних курикулумів дослідницька діяльність поєднує питання, роботу з даними, польове спостереження, картографічні та цифрові інструменти, аналіз доказів і комунікацію висновків. По-третє, в різних країнах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дедалі частіше виправдовується не тільки мотиваційними міркуваннями, а й потребою сформувати </w:t>
      </w:r>
      <w:r w:rsidRPr="00AA17A4">
        <w:rPr>
          <w:rFonts w:ascii="Times New Roman" w:hAnsi="Times New Roman" w:cs="Times New Roman"/>
          <w:i/>
          <w:iCs/>
          <w:sz w:val="28"/>
          <w:szCs w:val="28"/>
          <w:lang w:val="uk-UA"/>
        </w:rPr>
        <w:t>conceptual understanding, disciplinary knowledge, spatial reasoning, citizenship</w:t>
      </w:r>
      <w:r w:rsidRPr="00AA17A4">
        <w:rPr>
          <w:rFonts w:ascii="Times New Roman" w:hAnsi="Times New Roman" w:cs="Times New Roman"/>
          <w:sz w:val="28"/>
          <w:szCs w:val="28"/>
          <w:lang w:val="uk-UA"/>
        </w:rPr>
        <w:t xml:space="preserve"> і здатність оцінювати </w:t>
      </w:r>
      <w:r w:rsidRPr="00AA17A4">
        <w:rPr>
          <w:rFonts w:ascii="Times New Roman" w:hAnsi="Times New Roman" w:cs="Times New Roman"/>
          <w:i/>
          <w:iCs/>
          <w:sz w:val="28"/>
          <w:szCs w:val="28"/>
          <w:lang w:val="uk-UA"/>
        </w:rPr>
        <w:t xml:space="preserve">knowledge claims </w:t>
      </w:r>
      <w:r w:rsidRPr="00AA17A4">
        <w:rPr>
          <w:rFonts w:ascii="Times New Roman" w:hAnsi="Times New Roman" w:cs="Times New Roman"/>
          <w:sz w:val="28"/>
          <w:szCs w:val="28"/>
          <w:lang w:val="uk-UA"/>
        </w:rPr>
        <w:t xml:space="preserve">[30]. Саме до такого висновку доходить компаративне дослідження Lee, Kriewaldt і Roberts, яке аналізувало шість юрисдикцій і виявило виразний міжнародний поворот до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як ядра вторинної шкільної географії. Отже, попри відмінності у формах, сучасна географічна освіта в різних країнах рухається в напрямі посилення дослідницької природи предмета [2].</w:t>
      </w:r>
    </w:p>
    <w:p w14:paraId="0C283237"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Разом із тим зарубіжний досвід переконує, що результативність дослідницького навчання не виникає автоматично від самого використання терміна </w:t>
      </w:r>
      <w:r w:rsidRPr="00AA17A4">
        <w:rPr>
          <w:rFonts w:ascii="Times New Roman" w:hAnsi="Times New Roman" w:cs="Times New Roman"/>
          <w:i/>
          <w:iCs/>
          <w:sz w:val="28"/>
          <w:szCs w:val="28"/>
          <w:lang w:val="uk-UA"/>
        </w:rPr>
        <w:t>inquiry</w:t>
      </w:r>
      <w:r w:rsidRPr="00AA17A4">
        <w:rPr>
          <w:rFonts w:ascii="Times New Roman" w:hAnsi="Times New Roman" w:cs="Times New Roman"/>
          <w:sz w:val="28"/>
          <w:szCs w:val="28"/>
          <w:lang w:val="uk-UA"/>
        </w:rPr>
        <w:t xml:space="preserve">. Британські методичні матеріали спеціально наголошують, що </w:t>
      </w:r>
      <w:r w:rsidRPr="00AA17A4">
        <w:rPr>
          <w:rFonts w:ascii="Times New Roman" w:hAnsi="Times New Roman" w:cs="Times New Roman"/>
          <w:i/>
          <w:iCs/>
          <w:sz w:val="28"/>
          <w:szCs w:val="28"/>
          <w:lang w:val="uk-UA"/>
        </w:rPr>
        <w:t>enquiry</w:t>
      </w:r>
      <w:r w:rsidRPr="00AA17A4">
        <w:rPr>
          <w:rFonts w:ascii="Times New Roman" w:hAnsi="Times New Roman" w:cs="Times New Roman"/>
          <w:sz w:val="28"/>
          <w:szCs w:val="28"/>
          <w:lang w:val="uk-UA"/>
        </w:rPr>
        <w:t xml:space="preserve"> – це не простий пошук інформації для відповіді на запитання, а розвиток розуміння через роботу з даними, зв’язками, поясненнями й рефлексією. Огляди Ofsted і сучасні дослідження в Австралії вказують на ту саму проблему з іншого боку: високоякісна географічна освіта залежить від предметної підготовки вчителя, від його здатності поєднати </w:t>
      </w:r>
      <w:r w:rsidRPr="00AA17A4">
        <w:rPr>
          <w:rFonts w:ascii="Times New Roman" w:hAnsi="Times New Roman" w:cs="Times New Roman"/>
          <w:i/>
          <w:iCs/>
          <w:sz w:val="28"/>
          <w:szCs w:val="28"/>
          <w:lang w:val="uk-UA"/>
        </w:rPr>
        <w:t>powerful knowledge</w:t>
      </w:r>
      <w:r w:rsidRPr="00AA17A4">
        <w:rPr>
          <w:rFonts w:ascii="Times New Roman" w:hAnsi="Times New Roman" w:cs="Times New Roman"/>
          <w:sz w:val="28"/>
          <w:szCs w:val="28"/>
          <w:lang w:val="uk-UA"/>
        </w:rPr>
        <w:t xml:space="preserve">, географічні концепти та педагогічні опори, а не залишити учня наодинці з випадковим інформаційним пошуком. Дослідження про </w:t>
      </w:r>
      <w:r w:rsidRPr="00AA17A4">
        <w:rPr>
          <w:rFonts w:ascii="Times New Roman" w:hAnsi="Times New Roman" w:cs="Times New Roman"/>
          <w:i/>
          <w:iCs/>
          <w:sz w:val="28"/>
          <w:szCs w:val="28"/>
          <w:lang w:val="uk-UA"/>
        </w:rPr>
        <w:t>barriers to improving teachers’ practice</w:t>
      </w:r>
      <w:r w:rsidRPr="00AA17A4">
        <w:rPr>
          <w:rFonts w:ascii="Times New Roman" w:hAnsi="Times New Roman" w:cs="Times New Roman"/>
          <w:sz w:val="28"/>
          <w:szCs w:val="28"/>
          <w:lang w:val="uk-UA"/>
        </w:rPr>
        <w:t xml:space="preserve"> також показують, що географічний inquiry потребує розвиненої </w:t>
      </w:r>
      <w:r w:rsidRPr="00AA17A4">
        <w:rPr>
          <w:rFonts w:ascii="Times New Roman" w:hAnsi="Times New Roman" w:cs="Times New Roman"/>
          <w:i/>
          <w:iCs/>
          <w:sz w:val="28"/>
          <w:szCs w:val="28"/>
          <w:lang w:val="uk-UA"/>
        </w:rPr>
        <w:t>pedagogical content</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lastRenderedPageBreak/>
        <w:t>knowledge</w:t>
      </w:r>
      <w:r w:rsidRPr="00AA17A4">
        <w:rPr>
          <w:rFonts w:ascii="Times New Roman" w:hAnsi="Times New Roman" w:cs="Times New Roman"/>
          <w:sz w:val="28"/>
          <w:szCs w:val="28"/>
          <w:lang w:val="uk-UA"/>
        </w:rPr>
        <w:t>, моделей зразкової практики та цілеспрямованого професійного розвитку. Унаслідок цього міжнародний досвід дає важливий висновок: дослідницьке навчання ефективне лише тоді, коли воно методично спроєктоване, дисциплінарно насичене й учительськи підтримане.</w:t>
      </w:r>
    </w:p>
    <w:p w14:paraId="7D1B1B14"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Для української методики навчання географії цей зарубіжний та історичний досвід має кілька безпосередніх наслідків. По-перше, він демонструє, що дослідницька спрямованість шкільної географії не є короткочасною модою, а становить результат тривалого міжнародного переосмислення предмета. По-друге, він переконує, що формування географічної компетентності неможливе без залучення учня до пошуково-дослідницької діяльності, роботи з картографічними, статистичними й цифровими джерелами, аналізу локальних і глобальних проблем. По-третє, порівняння з міжнародними моделями виявляє важливість поєднання предметної географії з </w:t>
      </w:r>
      <w:r w:rsidRPr="00AA17A4">
        <w:rPr>
          <w:rFonts w:ascii="Times New Roman" w:hAnsi="Times New Roman" w:cs="Times New Roman"/>
          <w:i/>
          <w:iCs/>
          <w:sz w:val="28"/>
          <w:szCs w:val="28"/>
          <w:lang w:val="uk-UA"/>
        </w:rPr>
        <w:t>fieldwork</w:t>
      </w:r>
      <w:r w:rsidRPr="00AA17A4">
        <w:rPr>
          <w:rFonts w:ascii="Times New Roman" w:hAnsi="Times New Roman" w:cs="Times New Roman"/>
          <w:sz w:val="28"/>
          <w:szCs w:val="28"/>
          <w:lang w:val="uk-UA"/>
        </w:rPr>
        <w:t>, GIS, критичним читанням геомедіа та громадянською відповідальністю. Українські дослідники, аналізуючи сучасні трансформації стандартів і публічного образу географії, справедливо наголошують, що світова практика дедалі більше визнає географічну грамотність як умову якості життя, екологічної відповідальності та суспільної участі. У цьому сенсі історичний і зарубіжний досвід має для України не запозичувальний, а орієнтаційний характер: він окреслює ті напрями, в яких географічна освіта зберігає свою наукову і суспільну значущість.</w:t>
      </w:r>
    </w:p>
    <w:p w14:paraId="13EAC9D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Підсумовуючи, можна констатувати, що історичний розвиток дослідницького навчання у шкільній географії відбувався як послідовний перехід від описово-репродуктивної, переважно регіонально-фактографічної моделі до дисциплінарно орієнтованої, проблемно- й доказово-центричної моделі. Зарубіжний досвід – від британського </w:t>
      </w:r>
      <w:r w:rsidRPr="00AA17A4">
        <w:rPr>
          <w:rFonts w:ascii="Times New Roman" w:hAnsi="Times New Roman" w:cs="Times New Roman"/>
          <w:i/>
          <w:iCs/>
          <w:sz w:val="28"/>
          <w:szCs w:val="28"/>
          <w:lang w:val="uk-UA"/>
        </w:rPr>
        <w:t>geographical</w:t>
      </w:r>
      <w:r w:rsidRPr="00AA17A4">
        <w:rPr>
          <w:rFonts w:ascii="Times New Roman" w:hAnsi="Times New Roman" w:cs="Times New Roman"/>
          <w:sz w:val="28"/>
          <w:szCs w:val="28"/>
          <w:lang w:val="uk-UA"/>
        </w:rPr>
        <w:t xml:space="preserve"> </w:t>
      </w:r>
      <w:r w:rsidRPr="00AA17A4">
        <w:rPr>
          <w:rFonts w:ascii="Times New Roman" w:hAnsi="Times New Roman" w:cs="Times New Roman"/>
          <w:i/>
          <w:iCs/>
          <w:sz w:val="28"/>
          <w:szCs w:val="28"/>
          <w:lang w:val="uk-UA"/>
        </w:rPr>
        <w:t>enquiry</w:t>
      </w:r>
      <w:r w:rsidRPr="00AA17A4">
        <w:rPr>
          <w:rFonts w:ascii="Times New Roman" w:hAnsi="Times New Roman" w:cs="Times New Roman"/>
          <w:sz w:val="28"/>
          <w:szCs w:val="28"/>
          <w:lang w:val="uk-UA"/>
        </w:rPr>
        <w:t xml:space="preserve"> та американського </w:t>
      </w:r>
      <w:r w:rsidRPr="00AA17A4">
        <w:rPr>
          <w:rFonts w:ascii="Times New Roman" w:hAnsi="Times New Roman" w:cs="Times New Roman"/>
          <w:i/>
          <w:iCs/>
          <w:sz w:val="28"/>
          <w:szCs w:val="28"/>
          <w:lang w:val="uk-UA"/>
        </w:rPr>
        <w:t>geographic inquiry</w:t>
      </w:r>
      <w:r w:rsidRPr="00AA17A4">
        <w:rPr>
          <w:rFonts w:ascii="Times New Roman" w:hAnsi="Times New Roman" w:cs="Times New Roman"/>
          <w:sz w:val="28"/>
          <w:szCs w:val="28"/>
          <w:lang w:val="uk-UA"/>
        </w:rPr>
        <w:t xml:space="preserve"> до австралійських, сінгапурських і фінських курикулумів – показує, що найпродуктивнішими виявляються ті підходи, які поєднують сильний предметний зміст із польовою роботою, питаннями, доказом, GIS, геомедіа та рефлексивним мисленням. У результаті дослідницьке навчання в географії сьогодні слід трактувати не як окремий методичний прийом, а як </w:t>
      </w:r>
      <w:r w:rsidRPr="00AA17A4">
        <w:rPr>
          <w:rFonts w:ascii="Times New Roman" w:hAnsi="Times New Roman" w:cs="Times New Roman"/>
          <w:sz w:val="28"/>
          <w:szCs w:val="28"/>
          <w:lang w:val="uk-UA"/>
        </w:rPr>
        <w:lastRenderedPageBreak/>
        <w:t>провідну форму реалізації самої природи географії як шкільної дисципліни, що навчає пояснювати просторові явища, критично оцінювати інформацію, бачити взаємозв’язки між природою і суспільством та діяти відповідально у світі складних територіальних і екологічних викликів.</w:t>
      </w:r>
    </w:p>
    <w:p w14:paraId="314D6B5C" w14:textId="77777777" w:rsidR="004D658F" w:rsidRPr="00AA17A4" w:rsidRDefault="004D658F" w:rsidP="004D658F">
      <w:pPr>
        <w:spacing w:after="0" w:line="360" w:lineRule="auto"/>
        <w:jc w:val="both"/>
        <w:rPr>
          <w:rFonts w:ascii="Times New Roman" w:hAnsi="Times New Roman" w:cs="Times New Roman"/>
          <w:sz w:val="28"/>
          <w:szCs w:val="28"/>
          <w:lang w:val="uk-UA"/>
        </w:rPr>
      </w:pPr>
    </w:p>
    <w:p w14:paraId="021C7BBF" w14:textId="77777777" w:rsidR="004D658F" w:rsidRPr="00AA17A4" w:rsidRDefault="004D658F" w:rsidP="004D658F">
      <w:pPr>
        <w:spacing w:after="0" w:line="360" w:lineRule="auto"/>
        <w:jc w:val="center"/>
        <w:rPr>
          <w:rFonts w:ascii="Times New Roman" w:hAnsi="Times New Roman" w:cs="Times New Roman"/>
          <w:sz w:val="28"/>
          <w:szCs w:val="28"/>
          <w:lang w:val="uk-UA"/>
        </w:rPr>
      </w:pPr>
    </w:p>
    <w:p w14:paraId="19C40144" w14:textId="77777777" w:rsidR="004D658F" w:rsidRPr="00AA17A4" w:rsidRDefault="004D658F" w:rsidP="004D658F">
      <w:pPr>
        <w:spacing w:after="0" w:line="360" w:lineRule="auto"/>
        <w:jc w:val="center"/>
        <w:rPr>
          <w:rFonts w:ascii="Times New Roman" w:hAnsi="Times New Roman" w:cs="Times New Roman"/>
          <w:b/>
          <w:bCs/>
          <w:sz w:val="28"/>
          <w:szCs w:val="28"/>
          <w:lang w:val="uk-UA"/>
        </w:rPr>
      </w:pPr>
      <w:r w:rsidRPr="00AA17A4">
        <w:rPr>
          <w:rFonts w:ascii="Times New Roman" w:hAnsi="Times New Roman" w:cs="Times New Roman"/>
          <w:b/>
          <w:bCs/>
          <w:sz w:val="28"/>
          <w:szCs w:val="28"/>
          <w:lang w:val="uk-UA"/>
        </w:rPr>
        <w:t>Висновки до Розділу 1</w:t>
      </w:r>
    </w:p>
    <w:p w14:paraId="0F714DFF" w14:textId="77777777" w:rsidR="004D658F" w:rsidRPr="00AA17A4" w:rsidRDefault="004D658F" w:rsidP="004D658F">
      <w:pPr>
        <w:spacing w:after="0" w:line="360" w:lineRule="auto"/>
        <w:rPr>
          <w:rFonts w:ascii="Times New Roman" w:hAnsi="Times New Roman" w:cs="Times New Roman"/>
          <w:b/>
          <w:bCs/>
          <w:sz w:val="28"/>
          <w:szCs w:val="28"/>
          <w:lang w:val="uk-UA"/>
        </w:rPr>
      </w:pPr>
    </w:p>
    <w:p w14:paraId="08C9F446"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Дослідницький підхід є однією з ключових засад сучасної компетентнісно орієнтованої освіти. Його сутність полягає в організації навчання як керованого, доказового й рефлексивного процесу пізнання, у якому учень не відтворює готові знання, а проходить логіку їх здобуття: від постановки проблеми й висунення припущень до аналізу даних, формулювання та обґрунтування висновків. Водночас ефективність такого підходу забезпечується не стихійним «відкриттям», а педагогічно продуманою підтримкою з боку вчителя.</w:t>
      </w:r>
    </w:p>
    <w:p w14:paraId="46ACE397"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Дослідницький підхід має системний вплив на формування компетентностей учнів. Він забезпечує розвиток предметних, міжпредметних і ключових компетентностей, зокрема дослідницької, географічної, інформаційно-цифрової, комунікативної, громадянської, екологічної, а також уміння вчитися, критично мислити, аргументувати судження й відповідально діяти в реальних життєвих ситуаціях. Отже, його значення полягає не лише в активізації пізнавальної діяльності, а у формуванні цілісної культури мислення та навчальної самостійності учня.</w:t>
      </w:r>
    </w:p>
    <w:p w14:paraId="71A4009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 xml:space="preserve">Формування географічних компетентностей у закладах загальної середньої освіти ґрунтується на цілісній нормативно-правовій і програмно-методичній базі. Закони України про освіту, державні стандарти, типові освітні програми, модельні навчальні програми, документи з оцінювання та щорічні методичні рекомендації МОН визначають обов’язкові результати навчання, місце географії в природничій освітній галузі та основні способи їх досягнення, що дає підстави розглядати географічну компетентність як нормативно закріплений </w:t>
      </w:r>
      <w:r w:rsidRPr="00AA17A4">
        <w:rPr>
          <w:rFonts w:ascii="Times New Roman" w:hAnsi="Times New Roman" w:cs="Times New Roman"/>
          <w:sz w:val="28"/>
          <w:szCs w:val="28"/>
          <w:lang w:val="uk-UA"/>
        </w:rPr>
        <w:lastRenderedPageBreak/>
        <w:t>інтегрований результат, що охоплює знання, дослідницькі вміння, просторове мислення, роботу з картами, статистичними й цифровими даними, а також ціннісне ставлення до довкілля та сталого розвитку.</w:t>
      </w:r>
    </w:p>
    <w:p w14:paraId="3BB8119A"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Сучасні програмно-методичні документи трактують географію не як описово-інформаційний предмет, а як навчальну дисципліну, спрямовану на формування просторового, екологічного й суспільно відповідального мислення. Особливого значення набувають дослідницькі, практичні, картографічні, аналітичні та проєктні види діяльності, які забезпечують перехід від запам’ятовування фактів до пояснення географічних явищ, виявлення причинно-наслідкових зв’язків і застосування знань у практиці.</w:t>
      </w:r>
    </w:p>
    <w:p w14:paraId="1F880BF3" w14:textId="77777777" w:rsidR="004D658F" w:rsidRPr="00AA17A4"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Аналіз зарубіжного та історичного досвіду показав, що розвиток шкільної географії відбувався в напрямі переходу від описово-репродуктивної моделі до дослідницької, проблемно-орієнтованої та доказової. Найбільш продуктивні міжнародні практики пов’язують дослідницьке навчання з польовою роботою, географічними запитаннями, аналізом даних, використанням карт, GIS і геомедіа, критичним осмисленням інформації та рефлексією. Спільною рисою успішних моделей є поєднання сильного предметного змісту з учнівською активністю та методичною підтримкою вчителя.</w:t>
      </w:r>
    </w:p>
    <w:p w14:paraId="413F3C4C" w14:textId="77777777" w:rsidR="004D658F" w:rsidRPr="00043E63" w:rsidRDefault="004D658F" w:rsidP="004D658F">
      <w:pPr>
        <w:spacing w:after="0" w:line="360" w:lineRule="auto"/>
        <w:ind w:firstLine="709"/>
        <w:jc w:val="both"/>
        <w:rPr>
          <w:rFonts w:ascii="Times New Roman" w:hAnsi="Times New Roman" w:cs="Times New Roman"/>
          <w:sz w:val="28"/>
          <w:szCs w:val="28"/>
          <w:lang w:val="uk-UA"/>
        </w:rPr>
      </w:pPr>
      <w:r w:rsidRPr="00AA17A4">
        <w:rPr>
          <w:rFonts w:ascii="Times New Roman" w:hAnsi="Times New Roman" w:cs="Times New Roman"/>
          <w:sz w:val="28"/>
          <w:szCs w:val="28"/>
          <w:lang w:val="uk-UA"/>
        </w:rPr>
        <w:t>Отже, дослідницький підхід у навчанні географії слід розглядати як методологічну основу формування географічних компетентностей учнів. Саме він найбільш повно відповідає сучасним цілям шкільної географічної освіти, оскільки поєднує засвоєння змісту з розвитком просторового мислення, дослідницьких умінь, цифрової грамотності, критичного аналізу та відповідального ставлення до природного й суспільного середовища.</w:t>
      </w:r>
    </w:p>
    <w:p w14:paraId="7F5B4B19" w14:textId="2F0F664B" w:rsidR="004D658F" w:rsidRDefault="004D658F" w:rsidP="004D658F">
      <w:pPr>
        <w:spacing w:after="0" w:line="360" w:lineRule="auto"/>
        <w:jc w:val="center"/>
        <w:rPr>
          <w:rFonts w:ascii="Times New Roman" w:hAnsi="Times New Roman" w:cs="Times New Roman"/>
          <w:sz w:val="28"/>
          <w:szCs w:val="28"/>
          <w:lang w:val="uk-UA"/>
        </w:rPr>
      </w:pPr>
    </w:p>
    <w:p w14:paraId="7CD415F2" w14:textId="70EDE042" w:rsidR="004D658F" w:rsidRDefault="004D658F" w:rsidP="004D658F">
      <w:pPr>
        <w:spacing w:after="0" w:line="360" w:lineRule="auto"/>
        <w:jc w:val="center"/>
        <w:rPr>
          <w:rFonts w:ascii="Times New Roman" w:hAnsi="Times New Roman" w:cs="Times New Roman"/>
          <w:sz w:val="28"/>
          <w:szCs w:val="28"/>
          <w:lang w:val="uk-UA"/>
        </w:rPr>
      </w:pPr>
    </w:p>
    <w:p w14:paraId="70C12B60" w14:textId="3DA9F531" w:rsidR="004D658F" w:rsidRDefault="004D658F" w:rsidP="004D658F">
      <w:pPr>
        <w:spacing w:after="0" w:line="360" w:lineRule="auto"/>
        <w:jc w:val="center"/>
        <w:rPr>
          <w:rFonts w:ascii="Times New Roman" w:hAnsi="Times New Roman" w:cs="Times New Roman"/>
          <w:sz w:val="28"/>
          <w:szCs w:val="28"/>
          <w:lang w:val="uk-UA"/>
        </w:rPr>
      </w:pPr>
    </w:p>
    <w:p w14:paraId="3C302142" w14:textId="1D78AD42" w:rsidR="004D658F" w:rsidRDefault="004D658F" w:rsidP="004D658F">
      <w:pPr>
        <w:spacing w:after="0" w:line="360" w:lineRule="auto"/>
        <w:jc w:val="center"/>
        <w:rPr>
          <w:rFonts w:ascii="Times New Roman" w:hAnsi="Times New Roman" w:cs="Times New Roman"/>
          <w:sz w:val="28"/>
          <w:szCs w:val="28"/>
          <w:lang w:val="uk-UA"/>
        </w:rPr>
      </w:pPr>
    </w:p>
    <w:p w14:paraId="399B6D02" w14:textId="77777777" w:rsidR="004D658F" w:rsidRDefault="004D658F" w:rsidP="004D658F">
      <w:pPr>
        <w:spacing w:after="0" w:line="360" w:lineRule="auto"/>
        <w:jc w:val="center"/>
        <w:rPr>
          <w:rFonts w:ascii="Times New Roman" w:hAnsi="Times New Roman" w:cs="Times New Roman"/>
          <w:sz w:val="28"/>
          <w:szCs w:val="28"/>
          <w:lang w:val="uk-UA"/>
        </w:rPr>
      </w:pPr>
    </w:p>
    <w:p w14:paraId="0235DC26"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r w:rsidRPr="00692A1F">
        <w:rPr>
          <w:rFonts w:ascii="Times New Roman" w:hAnsi="Times New Roman" w:cs="Times New Roman"/>
          <w:b/>
          <w:bCs/>
          <w:sz w:val="28"/>
          <w:szCs w:val="28"/>
          <w:lang w:val="uk-UA"/>
        </w:rPr>
        <w:lastRenderedPageBreak/>
        <w:t>РОЗДІЛ 2. АНАЛІЗ СТАНУ ТА УМОВ ФОРМУВАННЯ ГЕОГРАФІЧНИХ КОМПЕТЕНТНОСТЕЙ УЧНІВ ОСНОВНОЇ ШКОЛИ</w:t>
      </w:r>
    </w:p>
    <w:p w14:paraId="674B5EFD"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p>
    <w:p w14:paraId="5188112A"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p>
    <w:p w14:paraId="6C074F66"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r w:rsidRPr="00692A1F">
        <w:rPr>
          <w:rFonts w:ascii="Times New Roman" w:hAnsi="Times New Roman" w:cs="Times New Roman"/>
          <w:b/>
          <w:bCs/>
          <w:sz w:val="28"/>
          <w:szCs w:val="28"/>
          <w:lang w:val="uk-UA"/>
        </w:rPr>
        <w:t>2.1. Рівень сформованості географічних компетентностей учнів основної школи: діагностика та результати</w:t>
      </w:r>
    </w:p>
    <w:p w14:paraId="6F7DDF68" w14:textId="77777777" w:rsidR="004D658F" w:rsidRPr="00692A1F" w:rsidRDefault="004D658F" w:rsidP="004D658F">
      <w:pPr>
        <w:spacing w:after="0" w:line="360" w:lineRule="auto"/>
        <w:rPr>
          <w:rFonts w:ascii="Times New Roman" w:hAnsi="Times New Roman" w:cs="Times New Roman"/>
          <w:b/>
          <w:bCs/>
          <w:sz w:val="28"/>
          <w:szCs w:val="28"/>
          <w:lang w:val="uk-UA"/>
        </w:rPr>
      </w:pPr>
    </w:p>
    <w:p w14:paraId="4AF09397"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Проблема визначення рівня сформованості географічних компетентностей учнів основної школи належить до центральних у сучасній методиці навчання географії, оскільки саме вона дає змогу перейти від формального контролю засвоєння фактів і термінів до виявлення реальної здатності учня орієнтуватися в просторі, працювати з різними видами географічної інформації, інтерпретувати природні й суспільні процеси, а також застосовувати набуті знання у практичних життєвих ситуаціях [76]. У сучасній українській освітній політиці ця проблема набуває особливої ваги в умовах впровадження Державного стандарту базової середньої освіти, який переорієнтовує навчання з переважно знаннєвої моделі на компетентнісну, а отже, ставить перед учителем і дослідником завдання не лише навчити, а й науково обґрунтовано встановити, наскільки учень здатний діяти на основі географічного знання [86]. Саме тому діагностика в цій сфері має розглядатися не як допоміжний етап навчального процесу, а як його структурний компонент, що забезпечує зворотний зв’язок між цілями географічної освіти, змістом навчання, методами роботи та реальними освітніми результатами учнів. </w:t>
      </w:r>
    </w:p>
    <w:p w14:paraId="0A5AD69C"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У нормативному та дидактичному вимірі географічна компетентність учня основної школи не зводиться до суми ізольованих знань про природу, населення, господарство чи карту. Її сутність полягає у сформованій здатності використовувати географічні уявлення, способи мислення, практичні вміння та ціннісні орієнтації для пояснення просторових явищ і розв’язання навчальних та життєвих завдань [96]. У цьому сенсі географічна компетентність є інтегративним результатом навчання, що поєднує когнітивний, операційно-діяльнісний, ціннісно-світоглядний та прикладний виміри. Українські </w:t>
      </w:r>
      <w:r w:rsidRPr="00692A1F">
        <w:rPr>
          <w:rFonts w:ascii="Times New Roman" w:hAnsi="Times New Roman" w:cs="Times New Roman"/>
          <w:sz w:val="28"/>
          <w:szCs w:val="28"/>
          <w:lang w:val="uk-UA"/>
        </w:rPr>
        <w:lastRenderedPageBreak/>
        <w:t>дослідники географічної освіти наголошують, що предметна компетентність втрачає свій зміст, якщо не виходить за межі відтворення матеріалу підручника й не виявляється у вмінні читати карту, встановлювати причинно-наслідкові зв’язки, бачити територіальні відмінності, робити висновки на підставі даних спостереження, статистики, схем і картографічних моделей [92]. Отже, діагностика цієї компетентності має бути спрямована на виявлення діяльнісного, а не лише репродуктивного аспекту навчального результату.</w:t>
      </w:r>
    </w:p>
    <w:p w14:paraId="59E7CE7A"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Наукове осмислення структури географічної компетентності в українській методичній літературі демонструє прагнення перейти від розмитих загальних визначень до чіткішого розмежування її компонентів. Зокрема, у працях Л. Вішнікіної та О. Топузова обґрунтовано, що предметна географічна компетентність має системний характер і охоплює не лише знання та вміння, а й географічне бачення світу, емоційно-ціннісне ставлення до довкілля та досвід творчої діяльності [96]. У цьому підході особливо цінним є те, що компетентність розглядається не як статичний результат, а як функціональна готовність учня працювати з просторовою інформацією, пояснювати географічні закономірності та діяти на основі територіального аналізу. Така інтерпретація є принципово важливою для побудови діагностичного інструментарію, оскільки вимагає включення до оцінювання не тільки тестових завдань на знання фактів, а й завдань на інтерпретацію, перенесення знань, аналіз ситуацій, роботу з картою, порівняння територій і прийняття навчально-практичних рішень [67].</w:t>
      </w:r>
    </w:p>
    <w:p w14:paraId="2CE8F3D1"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У зв’язку з цим діагностика рівня сформованості географічних компетентностей повинна спиратися на багатокомпонентну модель критеріїв. Насамперед ідеться про змістовий критерій, який виявляє глибину та системність географічних знань; операційно-діяльнісний критерій, що характеризує вміння користуватися картою, атласом, планом місцевості, статистичними й графічними матеріалами; мисленнєвий критерій, пов’язаний із просторовим, комплексним і причинно-наслідковим мисленням; ціннісно-світоглядний критерій, який репрезентує ставлення до природи, суспільства, локального середовища та глобальних викликів; а також прикладний критерій, котрий виявляє здатність </w:t>
      </w:r>
      <w:r w:rsidRPr="00692A1F">
        <w:rPr>
          <w:rFonts w:ascii="Times New Roman" w:hAnsi="Times New Roman" w:cs="Times New Roman"/>
          <w:sz w:val="28"/>
          <w:szCs w:val="28"/>
          <w:lang w:val="uk-UA"/>
        </w:rPr>
        <w:lastRenderedPageBreak/>
        <w:t>застосовувати географічні знання у повсякденному житті [96]. Саме така логіка діагностики дає змогу уникнути хибної редукції компетентності до тестового бала й побачити її як багаторівневу якість навчальної підготовки школяра. У цьому полягає головний методологічний висновок сучасної геодидактики: компетентність не можна виміряти єдиним показником, її можна лише встановити через систему взаємопов’язаних індикаторів [17].</w:t>
      </w:r>
    </w:p>
    <w:p w14:paraId="7FDE5610"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У міжнародному науковому дискурсі ця сама тенденція простежується через посилення уваги до оцінювання </w:t>
      </w:r>
      <w:r w:rsidRPr="00692A1F">
        <w:rPr>
          <w:rFonts w:ascii="Times New Roman" w:hAnsi="Times New Roman" w:cs="Times New Roman"/>
          <w:i/>
          <w:iCs/>
          <w:sz w:val="28"/>
          <w:szCs w:val="28"/>
          <w:lang w:val="uk-UA"/>
        </w:rPr>
        <w:t>geographical thinking</w:t>
      </w:r>
      <w:r w:rsidRPr="00692A1F">
        <w:rPr>
          <w:rFonts w:ascii="Times New Roman" w:hAnsi="Times New Roman" w:cs="Times New Roman"/>
          <w:sz w:val="28"/>
          <w:szCs w:val="28"/>
          <w:lang w:val="uk-UA"/>
        </w:rPr>
        <w:t xml:space="preserve">, </w:t>
      </w:r>
      <w:r w:rsidRPr="00692A1F">
        <w:rPr>
          <w:rFonts w:ascii="Times New Roman" w:hAnsi="Times New Roman" w:cs="Times New Roman"/>
          <w:i/>
          <w:iCs/>
          <w:sz w:val="28"/>
          <w:szCs w:val="28"/>
          <w:lang w:val="uk-UA"/>
        </w:rPr>
        <w:t>geospatial thinking</w:t>
      </w:r>
      <w:r w:rsidRPr="00692A1F">
        <w:rPr>
          <w:rFonts w:ascii="Times New Roman" w:hAnsi="Times New Roman" w:cs="Times New Roman"/>
          <w:sz w:val="28"/>
          <w:szCs w:val="28"/>
          <w:lang w:val="uk-UA"/>
        </w:rPr>
        <w:t xml:space="preserve">, </w:t>
      </w:r>
      <w:r w:rsidRPr="00692A1F">
        <w:rPr>
          <w:rFonts w:ascii="Times New Roman" w:hAnsi="Times New Roman" w:cs="Times New Roman"/>
          <w:i/>
          <w:iCs/>
          <w:sz w:val="28"/>
          <w:szCs w:val="28"/>
          <w:lang w:val="uk-UA"/>
        </w:rPr>
        <w:t>geoabilities</w:t>
      </w:r>
      <w:r w:rsidRPr="00692A1F">
        <w:rPr>
          <w:rFonts w:ascii="Times New Roman" w:hAnsi="Times New Roman" w:cs="Times New Roman"/>
          <w:sz w:val="28"/>
          <w:szCs w:val="28"/>
          <w:lang w:val="uk-UA"/>
        </w:rPr>
        <w:t xml:space="preserve"> та </w:t>
      </w:r>
      <w:r w:rsidRPr="00692A1F">
        <w:rPr>
          <w:rFonts w:ascii="Times New Roman" w:hAnsi="Times New Roman" w:cs="Times New Roman"/>
          <w:i/>
          <w:iCs/>
          <w:sz w:val="28"/>
          <w:szCs w:val="28"/>
          <w:lang w:val="uk-UA"/>
        </w:rPr>
        <w:t>geoskills</w:t>
      </w:r>
      <w:r w:rsidRPr="00692A1F">
        <w:rPr>
          <w:rFonts w:ascii="Times New Roman" w:hAnsi="Times New Roman" w:cs="Times New Roman"/>
          <w:sz w:val="28"/>
          <w:szCs w:val="28"/>
          <w:lang w:val="uk-UA"/>
        </w:rPr>
        <w:t>, тобто до тих інтелектуальних і практичних дій, які засвідчують справжнє опанування географії як способу пізнання світу. У спеціальних дослідженнях із географічної освіти наголошується, що якісне оцінювання в цій галузі має поєднувати результати виконання учнями навчальних завдань, спостереження за їхньою діяльністю, рубрики оцінювання, польові й картографічні роботи, а також аналіз уміння переносити знання в нові ситуації [3]. Показовим є висновок сучасних зарубіжних авторів про те, що діагностика географічної компетентності потребує узгодження між навчальними результатами, типом завдання, доказом сформованості вміння та чіткими критеріями оцінювання. Цей підхід є продуктивним і для української школи, оскільки дозволяє перейти від фрагментарної перевірки окремих умінь до цілісного вимірювання навчального поступу учня [17].</w:t>
      </w:r>
    </w:p>
    <w:p w14:paraId="0F98AC69"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Методично виправдана діагностика рівня сформованості географічних компетентностей учнів основної школи має бути побудована на поєднанні різних процедур оцінювання. До них належать тести різних форматів, картографічні вправи, завдання на встановлення просторових зв’язків, компетентнісно орієнтовані навчальні ситуації, аналіз статистичних матеріалів, інтерпретація фото- й космічних зображень, робота з локальними кейсами, спостереження за навчальною діяльністю, анкетування, самооцінювання та взаємооцінювання. У вітчизняних дослідженнях, зокрема у працях С. Науменко, показано, що одновимірне тестування не може дати вичерпної картини рівня володіння географічною компетентністю, тому доцільним є поєднання діагностики </w:t>
      </w:r>
      <w:r w:rsidRPr="00692A1F">
        <w:rPr>
          <w:rFonts w:ascii="Times New Roman" w:hAnsi="Times New Roman" w:cs="Times New Roman"/>
          <w:sz w:val="28"/>
          <w:szCs w:val="28"/>
          <w:lang w:val="uk-UA"/>
        </w:rPr>
        <w:lastRenderedPageBreak/>
        <w:t>вчительських уявлень про структуру компетентності, учнівського самооцінювання та перевірки конкретних навчальних дій. Саме така багатоджерельна модель дозволяє отримати не лише формальний результат, а й зрозуміти причини наявних утруднень: чи пов’язані вони з браком знань, із недорозвиненістю картографічних умінь, із низькою мотивацією або з обмеженим досвідом практичного застосування географії [84].</w:t>
      </w:r>
    </w:p>
    <w:p w14:paraId="6F1AF0B6"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Важливим у цьому контексті є й питання про те, що саме слід вважати показником достатнього або високого рівня сформованості географічної компетентності. Очевидно, ним не може бути лише успішне відтворення означень чи назв об’єктів. Вищий рівень компетентності виявляється тоді, коли учень здатний користуватися картою без опори на алгоритм-підказку, самостійно добирати джерела географічної інформації, співвідносити локальні явища з регіональними та глобальними процесами, пояснювати особливості територій через взаємодію природних і суспільних чинників, а також використовувати географічне знання поза межами навчальної ситуації [68]. Відповідно, середній рівень характеризується частковою сформованістю таких дій, а низький – переважанням ситуативного, фрагментарного й репродуктивного використання знань. Саме така логіка рівневого тлумачення результатів є найбільш продуктивною для основної школи, де географічна компетентність ще перебуває у процесі становлення і не може оцінюватися за моделлю завершеної фахової підготовки [92].</w:t>
      </w:r>
    </w:p>
    <w:p w14:paraId="77917BA3"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Емпіричні матеріали українських досліджень дають підстави констатувати, що в учнів основної школи найкраще сформованими виявляються ті складники географічної компетентності, які безпосередньо пов’язані з навчально відпрацьованими діями, тоді як прикладний і самостійно-пошуковий аспекти демонструють істотно слабші результати. Так, у констатувальному експерименті, проведеному лабораторією оцінювання якості освіти Інституту педагогіки НАПН України, для виявлення рівнів володіння географічною компетентністю було застосовано анкетування учнів 6-10 класів. У межах дослідження перевірялися вміння орієнтуватися на місцевості, користуватися </w:t>
      </w:r>
      <w:r w:rsidRPr="00692A1F">
        <w:rPr>
          <w:rFonts w:ascii="Times New Roman" w:hAnsi="Times New Roman" w:cs="Times New Roman"/>
          <w:sz w:val="28"/>
          <w:szCs w:val="28"/>
          <w:lang w:val="uk-UA"/>
        </w:rPr>
        <w:lastRenderedPageBreak/>
        <w:t xml:space="preserve">картою, атласом, топографічним планом, планом і картою міста, компасом, застосовувати географічні знання в повсякденному житті та самостійно здобувати географічну інформацію </w:t>
      </w:r>
      <w:r w:rsidRPr="004D658F">
        <w:rPr>
          <w:rFonts w:ascii="Times New Roman" w:hAnsi="Times New Roman" w:cs="Times New Roman"/>
          <w:sz w:val="28"/>
          <w:szCs w:val="28"/>
          <w:lang w:val="uk-UA"/>
        </w:rPr>
        <w:t>[</w:t>
      </w:r>
      <w:r w:rsidRPr="00692A1F">
        <w:rPr>
          <w:rFonts w:ascii="Times New Roman" w:hAnsi="Times New Roman" w:cs="Times New Roman"/>
          <w:sz w:val="28"/>
          <w:szCs w:val="28"/>
          <w:lang w:val="uk-UA"/>
        </w:rPr>
        <w:t>85]. Уже сама структура цього інструментарію є методично показовою, бо репрезентує перехід від оцінювання «знань про географію» до оцінювання «здатності діяти географічно».</w:t>
      </w:r>
    </w:p>
    <w:p w14:paraId="2341106E"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Особливо показовими є конкретні результати зазначеного дослідження, які дозволяють виявити типові зони ризику у формуванні географічних компетентностей. За даними С. Науменко, 7% опитаних учнів вважали, що ніколи не використовували в повсякденному житті знання, уміння і навички, отримані на уроках географії; 39% ніколи не читали популярних географічних журналів; 15% ніколи не дивилися передачі географічної тематики; 14% не використовували інтернет для пошуку географічної інформації поза шкільними домашніми завданнями; 27% ніколи не користувалися програмою Google Earth; 22% ніколи не використовували географічну карту чи атлас у побуті; 41% – топографічний план місцевості; 58% – компас [85]. Ці показники засвідчують не стільки відсутність знань як таких, скільки недостатню сформованість практико-орієнтованого, інформаційно-пошукового й просторово-операційного складників географічної компетентності. Іншими словами, суттєва частина учнів знає географію переважно в межах класно-урочної ситуації, але не інтегрує її у власну життєву практику.</w:t>
      </w:r>
    </w:p>
    <w:p w14:paraId="12201B50"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Не менш значущими є результати анкетування вчителів географії, оскільки вони відображають професійне бачення структури компетентності та механізмів її оцінювання. У дослідженні С. Науменко вчителі з істотним професійним стажем наголошували на необхідності включення до структури географічної компетентності не тільки знань, а й умінь користуватися картографічними джерелами, застосовувати географічну інформацію та виконувати практичні завдання. Зокрема, 96% опитаних учителів визнавали належність відповідних умінь до складових географічної компетентності [84]. Це свідчить про достатньо високий рівень розуміння вчительською спільнотою діяльнісної сутності навчальних результатів. Водночас сама потреба у спеціальних дослідженнях </w:t>
      </w:r>
      <w:r w:rsidRPr="00692A1F">
        <w:rPr>
          <w:rFonts w:ascii="Times New Roman" w:hAnsi="Times New Roman" w:cs="Times New Roman"/>
          <w:sz w:val="28"/>
          <w:szCs w:val="28"/>
          <w:lang w:val="uk-UA"/>
        </w:rPr>
        <w:lastRenderedPageBreak/>
        <w:t>технологій оцінювання засвідчує, що навіть за наявності теоретичного усвідомлення структури компетентності питання її інструментального вимірювання залишається складним і потребує подальшого методичного опрацювання.</w:t>
      </w:r>
    </w:p>
    <w:p w14:paraId="74C48D3F"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Аналітичне узагальнення наведених результатів дає підстави стверджувати, що основна суперечність сучасної географічної підготовки учнів полягає у відносно кращій сформованості навчально-репродуктивних і значно слабшій сформованості практично-діяльнісних, інформаційно-пошукових та ціннісно-поведінкових компонентів, що означає, що учні порівняно легше виконують завдання в знайомому форматі підручника чи уроку, ніж переносять знання у побутову, громадянську, дослідницьку або просторово-аналітичну ситуацію. Такий висновок узгоджується і з ширшими міжнародними тенденціями оцінювання навчальних досягнень, де дедалі більшого значення набуває перевірка здатності учня діяти у новому контексті, інтерпретувати дані, пояснювати явища та приймати рішення на підставі доказів [43]. Отже, діагностика географічної компетентності в основній школі повинна бути зорієнтована не на фіксацію обсягу відтвореного матеріалу, а на виявлення міри функціональної готовності учня використовувати географічні способи мислення і дії.</w:t>
      </w:r>
    </w:p>
    <w:p w14:paraId="336BAB24"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Порівняння вітчизняних висновків із міжнародними підходами до оцінювання також показує, що проблема географічної компетентності не є вузько предметною. Вона безпосередньо перетинається з розвитком природничо-наукової грамотності, критичного мислення, інформаційної культури, громадянської відповідальності та освіти для сталого розвитку. У міжнародних джерелах наголошується, що ефективні системи оцінювання мають фіксувати не лише підсумковий бал, а й освітню стійкість, рівність доступу до ресурсів, здатність учнів працювати в умовах невизначеності та використовувати знання в реальних контекстах. Для української географічної освіти це має особливе значення, оскільки предмет географії за своєю природою інтегрує екологічний, соціальний, економічний і просторовий аналіз, а отже, може стати </w:t>
      </w:r>
      <w:r w:rsidRPr="00692A1F">
        <w:rPr>
          <w:rFonts w:ascii="Times New Roman" w:hAnsi="Times New Roman" w:cs="Times New Roman"/>
          <w:sz w:val="28"/>
          <w:szCs w:val="28"/>
          <w:lang w:val="uk-UA"/>
        </w:rPr>
        <w:lastRenderedPageBreak/>
        <w:t>одним із ключових ресурсів розвитку компетентного, відповідального й аналітично мислячого учня. Відповідно, результати діагностики географічних компетентностей доцільно інтерпретувати не ізольовано, а в ширшому контексті якості освіти та готовності учнів до життя в складному світі.</w:t>
      </w:r>
    </w:p>
    <w:p w14:paraId="4491444B"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Водночас результати діагностики мають не лише констатувальне, а й конструктивне значення. Вони дозволяють визначити, які саме ланки методичної системи потребують корекції: зміст навчальних матеріалів, типи завдань у підручнику, баланс між теоретичним викладом і практичною діяльністю, системність роботи з картою, організацію польових спостережень, використання цифрових ресурсів, способи поточного й підсумкового оцінювання. У концептуальних документах з географічної освіти підкреслюється, що сучасний підручник і сучасний урок географії мають бути зорієнтовані на формування ключових і предметної географічної компетентності, розвиток пізнавальної ініціативи, критичності та здатності застосовувати знання в реальних ситуаціях. Звідси випливає важливий методичний висновок: результати діагностики мають перетворюватися на основу для проєктування таких форм і методів навчання, які посилюють саме ті компоненти компетентності, що виявилися найменш сформованими.</w:t>
      </w:r>
    </w:p>
    <w:p w14:paraId="13F5BE47"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Отже, аналіз наукових підходів до сутності географічної компетентності, сучасних моделей її оцінювання та емпіричних результатів українських досліджень дає підстави для кількох принципових висновків. По-перше, географічна компетентність учнів основної школи є багатовимірним інтегрованим утворенням, яке охоплює знання, способи дії, просторове мислення, ціннісні орієнтації та досвід практичного застосування географії. По-друге, її діагностика повинна мати комплексний характер і спиратися на систему критеріїв та різнорідних інструментів, а не на одиничний тестовий показник. По-третє, результати наявних досліджень засвідчують, що найбільш проблемними для учнів залишаються саме прикладний, пошуково-інформаційний та операційно-просторовий складники, тоді як традиційна репродуктивна підготовка не забезпечує повноцінного переходу до компетентнісного </w:t>
      </w:r>
      <w:r w:rsidRPr="00692A1F">
        <w:rPr>
          <w:rFonts w:ascii="Times New Roman" w:hAnsi="Times New Roman" w:cs="Times New Roman"/>
          <w:sz w:val="28"/>
          <w:szCs w:val="28"/>
          <w:lang w:val="uk-UA"/>
        </w:rPr>
        <w:lastRenderedPageBreak/>
        <w:t>результату. По-четверте, подальше вдосконалення методики навчання географії в основній школі має бути безпосередньо пов’язане з розвитком діагностичного інструментарію, який відображає реальну здатність учнів мислити й діяти географічно.</w:t>
      </w:r>
    </w:p>
    <w:p w14:paraId="559152C7" w14:textId="77777777" w:rsidR="004D658F" w:rsidRPr="00692A1F" w:rsidRDefault="004D658F" w:rsidP="004D658F">
      <w:pPr>
        <w:spacing w:after="0" w:line="360" w:lineRule="auto"/>
        <w:jc w:val="both"/>
        <w:rPr>
          <w:rFonts w:ascii="Times New Roman" w:hAnsi="Times New Roman" w:cs="Times New Roman"/>
          <w:sz w:val="28"/>
          <w:szCs w:val="28"/>
          <w:lang w:val="uk-UA"/>
        </w:rPr>
      </w:pPr>
    </w:p>
    <w:p w14:paraId="432183D8" w14:textId="77777777" w:rsidR="004D658F" w:rsidRPr="00692A1F" w:rsidRDefault="004D658F" w:rsidP="004D658F">
      <w:pPr>
        <w:spacing w:after="0" w:line="360" w:lineRule="auto"/>
        <w:jc w:val="both"/>
        <w:rPr>
          <w:rFonts w:ascii="Times New Roman" w:hAnsi="Times New Roman" w:cs="Times New Roman"/>
          <w:sz w:val="28"/>
          <w:szCs w:val="28"/>
          <w:lang w:val="uk-UA"/>
        </w:rPr>
      </w:pPr>
    </w:p>
    <w:p w14:paraId="77CBD05B"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r w:rsidRPr="00692A1F">
        <w:rPr>
          <w:rFonts w:ascii="Times New Roman" w:hAnsi="Times New Roman" w:cs="Times New Roman"/>
          <w:b/>
          <w:bCs/>
          <w:sz w:val="28"/>
          <w:szCs w:val="28"/>
          <w:lang w:val="uk-UA"/>
        </w:rPr>
        <w:t>2.2. Освітнє середовище та ресурсне забезпечення реалізації дослідницького підходу</w:t>
      </w:r>
    </w:p>
    <w:p w14:paraId="6105198F" w14:textId="77777777" w:rsidR="004D658F" w:rsidRPr="00692A1F" w:rsidRDefault="004D658F" w:rsidP="004D658F">
      <w:pPr>
        <w:spacing w:after="0" w:line="360" w:lineRule="auto"/>
        <w:rPr>
          <w:rFonts w:ascii="Times New Roman" w:hAnsi="Times New Roman" w:cs="Times New Roman"/>
          <w:b/>
          <w:bCs/>
          <w:sz w:val="28"/>
          <w:szCs w:val="28"/>
          <w:lang w:val="uk-UA"/>
        </w:rPr>
      </w:pPr>
    </w:p>
    <w:p w14:paraId="1BB26F5F"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Реалізація дослідницького підходу в шкільній географічній освіті безпосередньо залежить від якості освітнього середовища, у межах якого відбувається навчально-пізнавальна діяльність учнів. У сучасній педагогічній науці освітнє середовище розглядається не лише як сукупність матеріальних умов навчання, а як цілісна система взаємопов’язаних просторово-предметних, організаційно-педагогічних, соціально-комунікативних, інформаційних і ціннісних чинників, що визначають характер освітнього досвіду дитини. У контексті дослідницького підходу таке середовище повинно забезпечувати не тільки доступ до знань, а й можливість їх самостійного здобуття, перевірки, інтерпретації та застосування [65]. Саме тому проблема освітнього середовища виходить за межі суто матеріально-технічного забезпечення й охоплює питання педагогічної культури, організації взаємодії, відкритості до пошуку, варіативності джерел інформації, безпечності навчального простору та підтримки учнівської ініціативи.</w:t>
      </w:r>
    </w:p>
    <w:p w14:paraId="276762FC"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Теоретичне осмислення сутності освітнього середовища в українській педагогіці демонструє, що воно трактується як багаторівневе утворення, у якому поєднуються навчальний процес, педагогічні технології, соціальні взаємини, психолого-педагогічний супровід, предметно-просторова організація та інформаційна інфраструктура [65]. Таке розуміння є особливо продуктивним для аналізу дослідницького підходу, оскільки останній не може бути реалізований у середовищі, що побудоване виключно на трансляції готового знання. </w:t>
      </w:r>
      <w:r w:rsidRPr="00692A1F">
        <w:rPr>
          <w:rFonts w:ascii="Times New Roman" w:hAnsi="Times New Roman" w:cs="Times New Roman"/>
          <w:sz w:val="28"/>
          <w:szCs w:val="28"/>
          <w:lang w:val="uk-UA"/>
        </w:rPr>
        <w:lastRenderedPageBreak/>
        <w:t>Дослідницьке навчання потребує відкритої моделі освітньої організації, де учень є не пасивним споживачем інформації, а суб’єктом пізнання, який має право на запитання, гіпотезу, помилку, перевірку та повторний пошук [95]. Звідси випливає, що освітнє середовище для реалізації дослідницького підходу має бути не просто функціональним, а епістемологічно продуктивним, тобто таким, що продукує умови для пізнавальної активності та конструювання знання</w:t>
      </w:r>
    </w:p>
    <w:p w14:paraId="444D1E5C"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Нормативна база української освіти створює важливі підстави для впровадження дослідницького підходу, оскільки сучасний Державний стандарт базової середньої освіти орієнтує освітній процес на досягнення обов’язкових результатів навчання, пов’язаних із дослідженням, аналізом інформації, формулюванням висновків, розв’язанням проблем і застосуванням знань у життєвих ситуаціях [70]. У природничій та громадянсько-історичній освітніх галузях, із якими географія має тісний змістовий зв’язок, чітко простежується вимога до розвитку спостережливості, уміння працювати з даними, пояснювати явища та приймати обґрунтовані рішення. Це означає, що дослідницький підхід у географії не є факультативною методичною опцією, а випливає із загальної логіки сучасного стандарту освіти. Відповідно, освітнє середовище школи має бути організоване так, щоб забезпечити реальну, а не декларативну можливість досягнення цих результатів.</w:t>
      </w:r>
    </w:p>
    <w:p w14:paraId="5D928DD4"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Особливо виразно орієнтація на дослідницьке навчання відображена в модельних навчальних програмах з географії для 6-9 класів, у яких прямо зафіксовано діяльнісний, компетентнісний і дослідницький характер організації навчального процесу </w:t>
      </w:r>
      <w:r w:rsidRPr="00692A1F">
        <w:rPr>
          <w:rFonts w:ascii="Times New Roman" w:hAnsi="Times New Roman" w:cs="Times New Roman"/>
          <w:sz w:val="28"/>
          <w:szCs w:val="28"/>
        </w:rPr>
        <w:t>[</w:t>
      </w:r>
      <w:r w:rsidRPr="00692A1F">
        <w:rPr>
          <w:rFonts w:ascii="Times New Roman" w:hAnsi="Times New Roman" w:cs="Times New Roman"/>
          <w:sz w:val="28"/>
          <w:szCs w:val="28"/>
          <w:lang w:val="uk-UA"/>
        </w:rPr>
        <w:t>79</w:t>
      </w:r>
      <w:r w:rsidRPr="00692A1F">
        <w:rPr>
          <w:rFonts w:ascii="Times New Roman" w:hAnsi="Times New Roman" w:cs="Times New Roman"/>
          <w:sz w:val="28"/>
          <w:szCs w:val="28"/>
        </w:rPr>
        <w:t>]</w:t>
      </w:r>
      <w:r w:rsidRPr="00692A1F">
        <w:rPr>
          <w:rFonts w:ascii="Times New Roman" w:hAnsi="Times New Roman" w:cs="Times New Roman"/>
          <w:sz w:val="28"/>
          <w:szCs w:val="28"/>
          <w:lang w:val="uk-UA"/>
        </w:rPr>
        <w:t xml:space="preserve">. У програмних положеннях наголошується на необхідності активного залучення учнів до спостереження, моделювання, виконання практичних робіт, творчих проєктів, виявлення причинно-наслідкових зв’язків і самостійного пошуку географічної інформації, що має принципове значення для характеристики освітнього середовища, оскільки вказує на те, що дослідницька діяльність не повинна бути епізодичною формою роботи, приуроченою до окремого уроку чи тижня науки, а має становити постійну організаційну й методичну лінію вивчення географії. Отже, ресурсне </w:t>
      </w:r>
      <w:r w:rsidRPr="00692A1F">
        <w:rPr>
          <w:rFonts w:ascii="Times New Roman" w:hAnsi="Times New Roman" w:cs="Times New Roman"/>
          <w:sz w:val="28"/>
          <w:szCs w:val="28"/>
          <w:lang w:val="uk-UA"/>
        </w:rPr>
        <w:lastRenderedPageBreak/>
        <w:t>забезпечення такого підходу повинно розглядатися як системна умова реалізації освітньої програми, а не як додатковий бонус добре оснащених шкіл.</w:t>
      </w:r>
    </w:p>
    <w:p w14:paraId="5A57F91F"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У структурі освітнього середовища, придатного для реалізації дослідницького підходу, доцільно виокремлювати щонайменше кілька взаємопов’язаних компонентів: просторово-предметний, інформаційно-цифровий, методичний, соціально-комунікативний, організаційний та безпековий. Просторово-предметний компонент охоплює матеріальну базу кабінету географії, наявність карт, атласів, глобусів, колекцій, приладів, польового обладнання, зразків, стендів та засобів візуалізації. Інформаційно-цифровий пов’язаний із доступом до електронних карт, цифрових атласів, баз даних, геоінформаційних сервісів, дистанційних платформ, відкритих освітніх ресурсів і статистичних джерел. Методичний компонент включає добір завдань дослідницького типу, алгоритми спостереження, інструкції до мініпроєктів, систему проблемних запитань і критерії оцінювання. Соціально-комунікативний виявляється в атмосфері співпраці, діалогу, академічної доброчесності та підтримки учнівської ініціативи. Організаційний компонент визначає, чи має школа часові, програмні та управлінські можливості для дослідницької діяльності. Безпековий компонент набуває особливої ваги в сучасних українських умовах, коли будь-яка польова, проєктна чи змішана форма навчання повинна узгоджуватися з вимогами фізичної та психологічної безпеки [64]. </w:t>
      </w:r>
    </w:p>
    <w:p w14:paraId="7BFD04CE"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Просторово-предметна організація середовища має принципове значення саме для географії, оскільки цей навчальний предмет спирається на особливий спосіб пізнання світу – просторово-територіальний. Учень не може повноцінно включитися в дослідницьку діяльність, якщо навчальний простір не пропонує йому засобів для візуалізації, порівняння, картографування, спостереження та фіксації просторових відмінностей. Відповідно, кабінет географії в контексті дослідницького підходу слід розуміти не як приміщення для фронтального пояснення матеріалу, а як навчально-дослідницьку лабораторію, у якій є можливість працювати з джерелами географічної інформації різної природи. Це </w:t>
      </w:r>
      <w:r w:rsidRPr="00692A1F">
        <w:rPr>
          <w:rFonts w:ascii="Times New Roman" w:hAnsi="Times New Roman" w:cs="Times New Roman"/>
          <w:sz w:val="28"/>
          <w:szCs w:val="28"/>
          <w:lang w:val="uk-UA"/>
        </w:rPr>
        <w:lastRenderedPageBreak/>
        <w:t>передбачає наявність тематичних карт, контурних карт, атласів, статистичних збірників, метеорологічних спостережних листів, інструментів для локальних вимірювань, а також мобільних форматів організації простору, що допускають групову роботу, аналіз даних і презентацію результатів.</w:t>
      </w:r>
    </w:p>
    <w:p w14:paraId="34AE5E47"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Для дослідницького підходу в географії виняткову роль відіграє польова та локальна дослідницька діяльність, оскільки саме вона дозволяє поєднати теоретичне вивчення явищ із безпосереднім спостереженням простору. Зарубіжні праці переконливо доводять, що польова робота, орієнтована на запити виступає однією з найсильніших форм географічного навчання, де когнітивні й афективні результати взаємно підсилюють одне одного. Водночас досвід шкільної практики показує, що сам факт проведення екскурсії або виходу на місцевість ще не означає реалізації дослідницького підходу: польова робота набуває справді дослідницького характеру лише тоді, коли вона структурно вбудована в навчальну програму, має проблему, запитання, метод збору даних, процедуру інтерпретації й підсумкове представлення результатів. Звідси випливає, що ресурсне забезпечення дослідницького підходу має включати не лише транспорт чи доступ до території, а й методичні сценарії польових досліджень, інструменти фіксації даних і підготовку вчителя до керування таким видом діяльності. </w:t>
      </w:r>
    </w:p>
    <w:p w14:paraId="2063A4FC"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Інформаційно-цифровий вимір освітнього середовища сьогодні стає одним із ключових ресурсів дослідницького підходу. Географія як шкільний предмет має унікальні можливості інтеграції картографічних вебсервісів, геоінформаційних систем, цифрових атласів, відкритих статистичних баз, супутникових зображень, цифрових моделей рельєфу та інтерактивних візуалізацій. У науковій літературі з географічної освіти обґрунтовано, що </w:t>
      </w:r>
      <w:r w:rsidRPr="00692A1F">
        <w:rPr>
          <w:rFonts w:ascii="Times New Roman" w:hAnsi="Times New Roman" w:cs="Times New Roman"/>
          <w:i/>
          <w:iCs/>
          <w:sz w:val="28"/>
          <w:szCs w:val="28"/>
          <w:lang w:val="uk-UA"/>
        </w:rPr>
        <w:t>geospatial technologies</w:t>
      </w:r>
      <w:r w:rsidRPr="00692A1F">
        <w:rPr>
          <w:rFonts w:ascii="Times New Roman" w:hAnsi="Times New Roman" w:cs="Times New Roman"/>
          <w:sz w:val="28"/>
          <w:szCs w:val="28"/>
          <w:lang w:val="uk-UA"/>
        </w:rPr>
        <w:t xml:space="preserve"> істотно розширюють межі дослідження, дозволяючи школярам працювати з актуальними даними, формувати просторове мислення, аналізувати взаємозв’язки між явищами та переходити від пасивного споживання інформації до її аналітичного опрацювання [29]. Особливість цих ресурсів полягає в тому, що вони не лише модернізують засоби навчання, а й </w:t>
      </w:r>
      <w:r w:rsidRPr="00692A1F">
        <w:rPr>
          <w:rFonts w:ascii="Times New Roman" w:hAnsi="Times New Roman" w:cs="Times New Roman"/>
          <w:sz w:val="28"/>
          <w:szCs w:val="28"/>
          <w:lang w:val="uk-UA"/>
        </w:rPr>
        <w:lastRenderedPageBreak/>
        <w:t>змінюють саму логіку пізнання: учень отримує змогу досліджувати, а не тільки читати про об’єкти та процеси.</w:t>
      </w:r>
    </w:p>
    <w:p w14:paraId="29BD0D32"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Суттєвою складовою ресурсного забезпечення є доступ до відкритих освітніх ресурсів і геопросторових даних, які можуть використовуватися у шкільній дослідницькій практиці без значних фінансових витрат. Позиція UNESCO щодо відкритих освітніх ресурсів підкреслює значення вільного доступу до якісних навчальних матеріалів як передумови освітньої рівності й інноваційного навчання [39]. Для географії це має особливе значення, оскільки відкриті карти, статистичні бази, глобальні індикатори, екологічні набори даних і геопросторові сервіси дозволяють вчителю організовувати навчальні дослідження на локальному, регіональному й глобальному рівнях. Використання таких ресурсів робить дослідницький підхід більш реалістичним навіть у школах з обмеженим фінансуванням, водночас ставлячи нові вимоги до цифрової грамотності педагога, уміння відбирати надійні джерела й дидактично адаптувати масиви даних до вікових можливостей учнів основної школи. </w:t>
      </w:r>
    </w:p>
    <w:p w14:paraId="54B0131A"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Окремого аналізу потребує методичний ресурс, оскільки навіть добре оснащене середовище не забезпечує автоматичної реалізації дослідницького підходу. Ключовим чинником тут виступає здатність учителя перетворити наявні матеріальні й цифрові засоби на дидактично структурований процес дослідження. У міжнародних працях із «</w:t>
      </w:r>
      <w:r w:rsidRPr="00692A1F">
        <w:rPr>
          <w:rFonts w:ascii="Times New Roman" w:hAnsi="Times New Roman" w:cs="Times New Roman"/>
          <w:i/>
          <w:iCs/>
          <w:sz w:val="28"/>
          <w:szCs w:val="28"/>
          <w:lang w:val="uk-UA"/>
        </w:rPr>
        <w:t>inquiry-based learning</w:t>
      </w:r>
      <w:r w:rsidRPr="00692A1F">
        <w:rPr>
          <w:rFonts w:ascii="Times New Roman" w:hAnsi="Times New Roman" w:cs="Times New Roman"/>
          <w:sz w:val="28"/>
          <w:szCs w:val="28"/>
          <w:lang w:val="uk-UA"/>
        </w:rPr>
        <w:t xml:space="preserve">» у географії підкреслюється, що ефективне дослідницьке навчання вимагає чіткої постановки проблеми, організації етапів спостереження, формулювання питань, збору й аналізу даних, перевірки гіпотез, інтерпретації результатів і рефлексії [59]. Отже, ресурсне забезпечення охоплює не лише «що є в школі», а й «як це методично працює». Саме тому до критично важливих ресурсів належать сценарії дослідницьких уроків, банк проблемних завдань, рубрики оцінювання, кейси локальних географічних досліджень, рекомендації з польової роботи, а також розроблені моделі інтеграції цифрових картографічних інструментів у пізнавальну діяльність учнів. </w:t>
      </w:r>
    </w:p>
    <w:p w14:paraId="01D9A16B"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lastRenderedPageBreak/>
        <w:t xml:space="preserve">У цьому зв’язку питання професійної готовності вчителя слід розглядати як центральний елемент освітнього середовища, а не зовнішній щодо нього чинник. Дослідницький підхід ставить до педагога значно складніші вимоги, ніж традиційне репродуктивне навчання: він має бути не лише носієм предметного знання, а й організатором пізнавального пошуку, фасилітатором, консультантом, інтерпретатором даних і дизайнером навчального дослідження. У працях, присвячених </w:t>
      </w:r>
      <w:r w:rsidRPr="00692A1F">
        <w:rPr>
          <w:rFonts w:ascii="Times New Roman" w:hAnsi="Times New Roman" w:cs="Times New Roman"/>
          <w:i/>
          <w:iCs/>
          <w:sz w:val="28"/>
          <w:szCs w:val="28"/>
          <w:lang w:val="uk-UA"/>
        </w:rPr>
        <w:t>inquiry-based learning</w:t>
      </w:r>
      <w:r w:rsidRPr="00692A1F">
        <w:rPr>
          <w:rFonts w:ascii="Times New Roman" w:hAnsi="Times New Roman" w:cs="Times New Roman"/>
          <w:sz w:val="28"/>
          <w:szCs w:val="28"/>
          <w:lang w:val="uk-UA"/>
        </w:rPr>
        <w:t xml:space="preserve"> із використанням GIS, наголошується, що без спеціально організованого професійного розвитку вчителі не завжди готові інтегрувати цифрові інструменти в географічне дослідження на належному рівні [30]. Це означає, що ресурсне забезпечення реалізації дослідницького підходу має включати не тільки обладнання, а й підвищення кваліфікації, методичні спільноти, доступ до практик обміну досвідом і підтримку вчителя у процесі педагогічного конструювання навчального дослідження.</w:t>
      </w:r>
    </w:p>
    <w:p w14:paraId="1512389A"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Соціально-комунікативний компонент освітнього середовища не менш значущий, ніж матеріальний. Дослідницький підхід неможливий без атмосфери довіри, відкритого діалогу, визнання права учня на інтелектуальну ініціативу та підтримки його пізнавальної автономії. Якщо шкільна культура орієнтована винятково на правильну відповідь, швидке відтворення матеріалу та уникнення помилки, то навіть за наявності ресурсів дослідницька діяльність буде поверховою. Натомість середовище, у якому учень може ставити уточнювальні запитання, пропонувати гіпотези, захищати позицію на основі доказів і працювати в групі, суттєво підвищує можливості реалізації </w:t>
      </w:r>
      <w:r w:rsidRPr="00692A1F">
        <w:rPr>
          <w:rFonts w:ascii="Times New Roman" w:hAnsi="Times New Roman" w:cs="Times New Roman"/>
          <w:i/>
          <w:iCs/>
          <w:sz w:val="28"/>
          <w:szCs w:val="28"/>
          <w:lang w:val="uk-UA"/>
        </w:rPr>
        <w:t>inquiry-based</w:t>
      </w:r>
      <w:r w:rsidRPr="00692A1F">
        <w:rPr>
          <w:rFonts w:ascii="Times New Roman" w:hAnsi="Times New Roman" w:cs="Times New Roman"/>
          <w:sz w:val="28"/>
          <w:szCs w:val="28"/>
          <w:lang w:val="uk-UA"/>
        </w:rPr>
        <w:t xml:space="preserve"> </w:t>
      </w:r>
      <w:r w:rsidRPr="00692A1F">
        <w:rPr>
          <w:rFonts w:ascii="Times New Roman" w:hAnsi="Times New Roman" w:cs="Times New Roman"/>
          <w:i/>
          <w:iCs/>
          <w:sz w:val="28"/>
          <w:szCs w:val="28"/>
          <w:lang w:val="uk-UA"/>
        </w:rPr>
        <w:t>learning</w:t>
      </w:r>
      <w:r w:rsidRPr="00692A1F">
        <w:rPr>
          <w:rFonts w:ascii="Times New Roman" w:hAnsi="Times New Roman" w:cs="Times New Roman"/>
          <w:sz w:val="28"/>
          <w:szCs w:val="28"/>
          <w:lang w:val="uk-UA"/>
        </w:rPr>
        <w:t xml:space="preserve">. OECD у своїх матеріалах про </w:t>
      </w:r>
      <w:r w:rsidRPr="00692A1F">
        <w:rPr>
          <w:rFonts w:ascii="Times New Roman" w:hAnsi="Times New Roman" w:cs="Times New Roman"/>
          <w:i/>
          <w:iCs/>
          <w:sz w:val="28"/>
          <w:szCs w:val="28"/>
          <w:lang w:val="uk-UA"/>
        </w:rPr>
        <w:t>innovative learning environments</w:t>
      </w:r>
      <w:r w:rsidRPr="00692A1F">
        <w:rPr>
          <w:rFonts w:ascii="Times New Roman" w:hAnsi="Times New Roman" w:cs="Times New Roman"/>
          <w:sz w:val="28"/>
          <w:szCs w:val="28"/>
          <w:lang w:val="uk-UA"/>
        </w:rPr>
        <w:t xml:space="preserve"> підкреслює, що ефективне середовище навчання формується навколо активного залучення учня, соціальної взаємодії, чутливості до мотивації та емоцій, а також оцінювання, яке підтримує навчання [57]. Для географії це особливо актуально, оскільки предмет органічно поєднує індивідуальний аналіз даних із колективним обговоренням соціально значущих просторових проблем. </w:t>
      </w:r>
    </w:p>
    <w:p w14:paraId="77121E4C"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У сучасних українських умовах безпековий аспект освітнього середовища є невід’ємною складовою ресурсного забезпечення дослідницького підходу. </w:t>
      </w:r>
      <w:r w:rsidRPr="00692A1F">
        <w:rPr>
          <w:rFonts w:ascii="Times New Roman" w:hAnsi="Times New Roman" w:cs="Times New Roman"/>
          <w:sz w:val="28"/>
          <w:szCs w:val="28"/>
          <w:lang w:val="uk-UA"/>
        </w:rPr>
        <w:lastRenderedPageBreak/>
        <w:t>Проведення польових спостережень, локальних досліджень території, екскурсій, роботи поза класом або у змішаному форматі потребує нових підходів до організації безпечного освітнього простору. Рекомендації Державної служби якості освіти України наголошують, що безпечне середовище має охоплювати фізичну, психологічну, інформаційну та організаційну безпеку [64]. Це означає, що впровадження дослідницького підходу в географії вимагає попередньої оцінки ризиків, адаптації форм польової роботи, використання дистанційних або віртуальних інструментів там, де безпосередній вихід у середовище є обмеженим, а також створення умов психологічної підтримки учнів. Таким чином, безпека не зменшує значення дослідницького підходу, а змушує шукати нові, методично вивірені формати його реалізації.</w:t>
      </w:r>
    </w:p>
    <w:p w14:paraId="0D213CDA"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Важливим ресурсним виміром є також управлінська й організаційна спроможність закладу освіти. Реалізація дослідницького підходу потребує часу на підготовку й проведення досліджень, гнучкості календарно-тематичного планування, підтримки адміністрації, міжпредметної координації, доступу до партнерств із музеями, природоохоронними установами, громадами, університетами та цифровими платформами. Якщо шкільне управління не розглядає дослідницьку діяльність як цінний результат навчання, то вона, як правило, залишається периферійною, епізодичною й залежною від індивідуального ентузіазму окремого вчителя. Саме тому уявлення про ресурсне забезпечення потрібно розширювати: йдеться не лише про обладнання, а про організаційну екосистему, яка робить дослідницьке навчання регулярною практикою, а не одноразовим педагогічним експериментом.</w:t>
      </w:r>
    </w:p>
    <w:p w14:paraId="4F2838C2"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Узагальнення наукових джерел дозволяє стверджувати, що ресурсне забезпечення реалізації дослідницького підходу в географії має багаторівневий характер. До базового рівня належать матеріальні та просторові ресурси: навчальний кабінет, картографічні матеріали, прилади, доступ до місцевості, польове обладнання. До функціонального рівня – цифрові ресурси, відкриті дані, GIS-інструменти, платформи для спільної роботи, візуалізації та аналізу. До методичного рівня – завдання дослідницького типу, програми спостережень, </w:t>
      </w:r>
      <w:r w:rsidRPr="00692A1F">
        <w:rPr>
          <w:rFonts w:ascii="Times New Roman" w:hAnsi="Times New Roman" w:cs="Times New Roman"/>
          <w:sz w:val="28"/>
          <w:szCs w:val="28"/>
          <w:lang w:val="uk-UA"/>
        </w:rPr>
        <w:lastRenderedPageBreak/>
        <w:t>кейси, алгоритми аналізу, критерії оцінювання. До кадрового рівня – професійна готовність учителя, методична підтримка, педагогічні спільноти. До інституційного рівня – управлінські рішення, безпечна організація освітнього процесу, партнерські зв’язки та ціннісна орієнтація школи на розвиток учнівської пізнавальної автономії. Лише взаємодія всіх цих рівнів створює передумови для того, щоб дослідницький підхід став реальною основою географічної освіти в основній школі.</w:t>
      </w:r>
    </w:p>
    <w:p w14:paraId="551641D8"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Отже, освітнє середовище та ресурсне забезпечення реалізації дослідницького підходу слід розглядати як системну сукупність умов, що визначають можливість перетворення географії з предмета переважно інформаційного на предмет дослідницько-аналітичний. Таке середовище повинно бути розвивальним, відкритим, безпечним, методично організованим і технологічно підтриманим; воно має створювати умови для спостереження, аналізу, постановки запитань, роботи з просторовими даними, польового вивчення території, колективного обговорення та аргументованого представлення результатів. Водночас самі ресурси набувають педагогічної цінності лише за умови їх дидактичного осмислення та включення в цілісну модель навчального дослідження. Саме тому подальше вдосконалення шкільної географічної освіти потребує не точкового дооснащення, а системного переосмислення освітнього середовища як простору, у якому формується дослідницька культура учня, його географічне мислення та готовність діяти на основі доказового пізнання світу. </w:t>
      </w:r>
    </w:p>
    <w:p w14:paraId="51E8CD5D" w14:textId="77777777" w:rsidR="004D658F" w:rsidRPr="00692A1F" w:rsidRDefault="004D658F" w:rsidP="004D658F">
      <w:pPr>
        <w:spacing w:after="0" w:line="360" w:lineRule="auto"/>
        <w:jc w:val="both"/>
        <w:rPr>
          <w:rFonts w:ascii="Times New Roman" w:hAnsi="Times New Roman" w:cs="Times New Roman"/>
          <w:sz w:val="28"/>
          <w:szCs w:val="28"/>
          <w:lang w:val="uk-UA"/>
        </w:rPr>
      </w:pPr>
    </w:p>
    <w:p w14:paraId="6B1B5714" w14:textId="77777777" w:rsidR="004D658F" w:rsidRPr="00692A1F" w:rsidRDefault="004D658F" w:rsidP="004D658F">
      <w:pPr>
        <w:spacing w:after="0" w:line="360" w:lineRule="auto"/>
        <w:jc w:val="both"/>
        <w:rPr>
          <w:rFonts w:ascii="Times New Roman" w:hAnsi="Times New Roman" w:cs="Times New Roman"/>
          <w:sz w:val="28"/>
          <w:szCs w:val="28"/>
          <w:lang w:val="uk-UA"/>
        </w:rPr>
      </w:pPr>
    </w:p>
    <w:p w14:paraId="12E8827E"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r w:rsidRPr="00692A1F">
        <w:rPr>
          <w:rFonts w:ascii="Times New Roman" w:hAnsi="Times New Roman" w:cs="Times New Roman"/>
          <w:b/>
          <w:bCs/>
          <w:sz w:val="28"/>
          <w:szCs w:val="28"/>
          <w:lang w:val="uk-UA"/>
        </w:rPr>
        <w:t>2.3. Педагогічні умови та чинники ефективності формування географічних компетентностей</w:t>
      </w:r>
    </w:p>
    <w:p w14:paraId="7CE2E8B9" w14:textId="77777777" w:rsidR="004D658F" w:rsidRPr="00692A1F" w:rsidRDefault="004D658F" w:rsidP="004D658F">
      <w:pPr>
        <w:spacing w:after="0" w:line="360" w:lineRule="auto"/>
        <w:rPr>
          <w:rFonts w:ascii="Times New Roman" w:hAnsi="Times New Roman" w:cs="Times New Roman"/>
          <w:b/>
          <w:bCs/>
          <w:sz w:val="28"/>
          <w:szCs w:val="28"/>
          <w:lang w:val="uk-UA"/>
        </w:rPr>
      </w:pPr>
    </w:p>
    <w:p w14:paraId="2806EFF4"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Формування географічних компетентностей учнів основної школи є не спонтанним наслідком вивчення навчального предмета, а результатом цілеспрямовано організованого педагогічного процесу, у межах якого зміст, </w:t>
      </w:r>
      <w:r w:rsidRPr="00692A1F">
        <w:rPr>
          <w:rFonts w:ascii="Times New Roman" w:hAnsi="Times New Roman" w:cs="Times New Roman"/>
          <w:sz w:val="28"/>
          <w:szCs w:val="28"/>
          <w:lang w:val="uk-UA"/>
        </w:rPr>
        <w:lastRenderedPageBreak/>
        <w:t>методи, форми, засоби навчання та система оцінювання підпорядковуються досягненню компетентнісного результату. У сучасній українській освіті така постановка питання має принципове значення, оскільки Державний стандарт базової середньої освіти орієнтує навчання не лише на засвоєння знань, а на розвиток здатності учня діяти, інтерпретувати, досліджувати, аргументувати й застосовувати набуте у змінних навчальних і життєвих ситуаціях [70]. За цих умов педагогічні умови формування географічних компетентностей слід розглядати як спеціально створені й методично впорядковані обставини освітнього процесу, що забезпечують перехід від знаннєвого засвоєння географії до її діяльнісного, ціннісного та практико-орієнтованого опанування [96].</w:t>
      </w:r>
    </w:p>
    <w:p w14:paraId="2D30291A"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У педагогічній науці категорія «педагогічні умови» трактується як сукупність обставин, факторів і способів організації освітнього процесу, за яких досягається необхідний дидактичний або виховний результат. У контексті шкільної географії це поняття не може зводитися лише до зовнішніх організаційних характеристик, адже ефективність формування компетентностей визначається не стільки наявністю окремих ресурсів, скільки узгодженістю між цілями навчання, предметною логікою географії та реальною діяльністю учня [96]. Саме тому педагогічні умови в досліджуваній площині доцільно тлумачити як інтеграцію змістових, методичних, мотиваційних, комунікативних, оцінювальних і ресурсних компонентів, які забезпечують системне оволодіння учнями географічними знаннями, уміннями, ціннісними орієнтаціями та способами просторового мислення [81].</w:t>
      </w:r>
    </w:p>
    <w:p w14:paraId="2BA58C89"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Однією з базових педагогічних умов виступає чітке компетентнісне проєктування навчального процесу, за якого предметний зміст відбирається і структурується не за логікою накопичення фактів, а за логікою формування здатності учня пояснювати, порівнювати, аналізувати, просторово мислити й застосовувати географічні знання на практиці. Українські методисти підкреслюють, що предметна географічна компетентність має складну структуру і включає не лише знаннєвий, а й діяльнісний, ціннісний, світоглядний та особистісно-рефлексивний компоненти [96]. Звідси випливає важливий </w:t>
      </w:r>
      <w:r w:rsidRPr="00692A1F">
        <w:rPr>
          <w:rFonts w:ascii="Times New Roman" w:hAnsi="Times New Roman" w:cs="Times New Roman"/>
          <w:sz w:val="28"/>
          <w:szCs w:val="28"/>
          <w:lang w:val="uk-UA"/>
        </w:rPr>
        <w:lastRenderedPageBreak/>
        <w:t xml:space="preserve">висновок: ефективне формування географічних компетентностей можливе лише за умови, що вчитель проектує урок, тему й курс у цілому як систему навчальних дій, а не як послідовність інформаційних блоків. У цьому сенсі компетентнісно орієнтоване планування виступає не окремим методичним прийомом, а концептуальною умовою результативного навчання географії </w:t>
      </w:r>
      <w:r w:rsidRPr="00692A1F">
        <w:rPr>
          <w:rFonts w:ascii="Times New Roman" w:hAnsi="Times New Roman" w:cs="Times New Roman"/>
          <w:sz w:val="28"/>
          <w:szCs w:val="28"/>
        </w:rPr>
        <w:t>[</w:t>
      </w:r>
      <w:r w:rsidRPr="00692A1F">
        <w:rPr>
          <w:rFonts w:ascii="Times New Roman" w:hAnsi="Times New Roman" w:cs="Times New Roman"/>
          <w:sz w:val="28"/>
          <w:szCs w:val="28"/>
          <w:lang w:val="uk-UA"/>
        </w:rPr>
        <w:t>67].</w:t>
      </w:r>
    </w:p>
    <w:p w14:paraId="090D1F31"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Наступною визначальною умовою є діяльнісна організація навчання, за якої учень виступає активним суб’єктом географічного пізнання. Ідеться про таку побудову уроку, де провідне місце посідають аналіз карт і статистичних матеріалів, встановлення причинно-наслідкових зв’язків, розв’язання проблемних ситуацій, виконання практичних і творчих завдань, моделювання просторових процесів та інтерпретація реальних географічних даних [81]. У працях Л. Вішнікіної обґрунтовано, що компетентнісно-формувальний урок географії відрізняється від традиційного не зовнішньою формою, а тим, що його структура підпорядкована включенню учня в продуктивну діяльність [68]. Такий підхід є педагогічно значущим, оскільки саме через діяльність відбувається перехід від знання як інформації до знання як інструмента розуміння світу і власної дії в ньому.</w:t>
      </w:r>
    </w:p>
    <w:p w14:paraId="57724FD9"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Особливої ваги набуває впровадження дослідницько-пошукових форм роботи, оскільки географія як шкільний предмет має значний потенціал для </w:t>
      </w:r>
      <w:r w:rsidRPr="00692A1F">
        <w:rPr>
          <w:rFonts w:ascii="Times New Roman" w:hAnsi="Times New Roman" w:cs="Times New Roman"/>
          <w:i/>
          <w:iCs/>
          <w:sz w:val="28"/>
          <w:szCs w:val="28"/>
          <w:lang w:val="uk-UA"/>
        </w:rPr>
        <w:t>inquiry-based learning</w:t>
      </w:r>
      <w:r w:rsidRPr="00692A1F">
        <w:rPr>
          <w:rFonts w:ascii="Times New Roman" w:hAnsi="Times New Roman" w:cs="Times New Roman"/>
          <w:sz w:val="28"/>
          <w:szCs w:val="28"/>
          <w:lang w:val="uk-UA"/>
        </w:rPr>
        <w:t>. У сучасних міжнародних дослідженнях підкреслюється, що географічна освіта природно поєднує емпіричне спостереження, просторовий аналіз, інтерпретацію даних, перевірку гіпотез і пояснення явищ, а тому дослідницьке навчання дає змогу розкривати її зміст значно повніше, ніж репродуктивна передача інформації [40]. Педагогічною умовою ефективного формування географічних компетентностей у цьому зв’язку є систематичне використання проблемних запитань, міні-досліджень, польових і кабінетних спостережень, аналізу локальних кейсів, порівняння територій та роботи з відкритими даними. Важливо, що дослідницький підхід не просто урізноманітнює урок, а безпосередньо формує ті інтелектуальні й практичні дії, з яких складається географічна компетентність [59].</w:t>
      </w:r>
    </w:p>
    <w:p w14:paraId="576E28BF"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lastRenderedPageBreak/>
        <w:t xml:space="preserve">Важливою предметно-специфічною педагогічною умовою є цілеспрямований розвиток картографічної, просторово-аналітичної та геоінформаційної культури учнів. Без уміння читати карту, співвідносити об’єкти у просторі, аналізувати тематичні зображення, користуватися атласами, електронними картами й даними геосервісів неможливо говорити про повноцінне формування географічної компетентності [17]. Саме тому ефективність навчання істотно зростає тоді, коли картографічна діяльність не обмежується ілюстративною функцією, а стає способом здобуття знань, перевірки припущень і пояснення явищ. У сучасній географічній освіті дедалі більше обґрунтовується теза про необхідність інтеграції </w:t>
      </w:r>
      <w:r w:rsidRPr="00692A1F">
        <w:rPr>
          <w:rFonts w:ascii="Times New Roman" w:hAnsi="Times New Roman" w:cs="Times New Roman"/>
          <w:i/>
          <w:iCs/>
          <w:sz w:val="28"/>
          <w:szCs w:val="28"/>
          <w:lang w:val="uk-UA"/>
        </w:rPr>
        <w:t>geospatial technologies</w:t>
      </w:r>
      <w:r w:rsidRPr="00692A1F">
        <w:rPr>
          <w:rFonts w:ascii="Times New Roman" w:hAnsi="Times New Roman" w:cs="Times New Roman"/>
          <w:sz w:val="28"/>
          <w:szCs w:val="28"/>
          <w:lang w:val="uk-UA"/>
        </w:rPr>
        <w:t xml:space="preserve"> у шкільне навчання, оскільки вони розвивають просторове мислення, підвищують аналітичну точність і розширюють можливості учнівської самостійності у роботі з реальними даними [32].</w:t>
      </w:r>
    </w:p>
    <w:p w14:paraId="381E1D53"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Не менш суттєвою умовою є забезпечення систематичного зв’язку між географічним змістом і реальним життєвим досвідом учнів. Компетентність формується тоді, коли навчальний матеріал виходить за межі підручникової схеми й набуває для школяра пізнавальної та практичної значущості [59]. Це означає, що вивчення географії має супроводжуватися аналізом актуальних локальних, регіональних і глобальних процесів, використанням прикладів із повсякденного життя, дослідженням території громади, екологічних, демографічних, соціально-економічних явищ, які є зрозумілими та спостережуваними для учнів. Саме на цьому ґрунті виникає міцний зв’язок між навчальним завданням і внутрішньою мотивацією, а географія перестає сприйматися як сукупність відомостей для запам’ятовування і стає засобом осмислення навколишнього світу [50].</w:t>
      </w:r>
    </w:p>
    <w:p w14:paraId="7657CF3E"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Одним із найвагоміших чинників ефективності виступає навчальна мотивація, причому не зовнішня, пов’язана лише з оцінкою, а внутрішня, що ґрунтується на інтересі до пізнання, інтелектуальній допитливості та переживанні особистої значущості навчального результату. Новітні дослідження </w:t>
      </w:r>
      <w:r w:rsidRPr="00692A1F">
        <w:rPr>
          <w:rFonts w:ascii="Times New Roman" w:hAnsi="Times New Roman" w:cs="Times New Roman"/>
          <w:i/>
          <w:iCs/>
          <w:sz w:val="28"/>
          <w:szCs w:val="28"/>
          <w:lang w:val="uk-UA"/>
        </w:rPr>
        <w:t>inquiry-based geography instruction</w:t>
      </w:r>
      <w:r w:rsidRPr="00692A1F">
        <w:rPr>
          <w:rFonts w:ascii="Times New Roman" w:hAnsi="Times New Roman" w:cs="Times New Roman"/>
          <w:sz w:val="28"/>
          <w:szCs w:val="28"/>
          <w:lang w:val="uk-UA"/>
        </w:rPr>
        <w:t xml:space="preserve"> засвідчують, що включення учнів у </w:t>
      </w:r>
      <w:r w:rsidRPr="00692A1F">
        <w:rPr>
          <w:rFonts w:ascii="Times New Roman" w:hAnsi="Times New Roman" w:cs="Times New Roman"/>
          <w:sz w:val="28"/>
          <w:szCs w:val="28"/>
          <w:lang w:val="uk-UA"/>
        </w:rPr>
        <w:lastRenderedPageBreak/>
        <w:t>дослідницькі форми роботи позитивно впливає на їхню внутрішню мотивацію, оскільки вони отримують змогу діяти самостійніше, бачити сенс навчальної проблеми й відчувати власну причетність до результату  [50]. У цьому контексті мотивація не є лише психологічним тлом навчання, а безпосередньо входить до кола педагогічних умов: без неї учень може відтворити матеріал, але не здатен стабільно включатися у складні форми географічного аналізу, які лежать в основі компетентнісного навчання [4</w:t>
      </w:r>
      <w:r w:rsidRPr="00692A1F">
        <w:rPr>
          <w:rFonts w:ascii="Times New Roman" w:hAnsi="Times New Roman" w:cs="Times New Roman"/>
          <w:sz w:val="28"/>
          <w:szCs w:val="28"/>
        </w:rPr>
        <w:t>]</w:t>
      </w:r>
      <w:r w:rsidRPr="00692A1F">
        <w:rPr>
          <w:rFonts w:ascii="Times New Roman" w:hAnsi="Times New Roman" w:cs="Times New Roman"/>
          <w:sz w:val="28"/>
          <w:szCs w:val="28"/>
          <w:lang w:val="uk-UA"/>
        </w:rPr>
        <w:t>.</w:t>
      </w:r>
    </w:p>
    <w:p w14:paraId="21B6726A"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Суттєвим чинником ефективності є також формувальне оцінювання, оскільки саме воно забезпечує зворотний зв’язок між навчальною дією учня і подальшим просуванням у формуванні компетентності. На відміну від суто підсумкового контролю, формувальне оцінювання дозволяє виявляти не тільки кінцевий результат, а й характер труднощів, помилки мислення, слабкі місця у способах роботи з інформацією, картами, даними чи аргументацією. Класичні праці П. Блека і Д. Вільяма переконливо довели, що оцінювання для навчання</w:t>
      </w:r>
      <w:r w:rsidRPr="00692A1F">
        <w:rPr>
          <w:rFonts w:ascii="Times New Roman" w:hAnsi="Times New Roman" w:cs="Times New Roman"/>
          <w:i/>
          <w:iCs/>
          <w:sz w:val="28"/>
          <w:szCs w:val="28"/>
          <w:lang w:val="uk-UA"/>
        </w:rPr>
        <w:t xml:space="preserve"> </w:t>
      </w:r>
      <w:r w:rsidRPr="00692A1F">
        <w:rPr>
          <w:rFonts w:ascii="Times New Roman" w:hAnsi="Times New Roman" w:cs="Times New Roman"/>
          <w:sz w:val="28"/>
          <w:szCs w:val="28"/>
          <w:lang w:val="uk-UA"/>
        </w:rPr>
        <w:t>підвищує якість навчання саме тому, що перетворює оцінювання на частину педагогічної взаємодії [7]. Для географії це означає особливу цінність систематичного використання запитань, рубрик, критеріїв, самооцінювання, взаємооцінювання, поетапного коментування практичних і дослідницьких завдань. За таких умов оцінювання перестає бути механізмом фіксації помилок і стає інструментом розвитку географічної компетентності [15].</w:t>
      </w:r>
    </w:p>
    <w:p w14:paraId="6F500DC5"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Окремою педагогічною умовою є забезпечення поступовості, наступності та вікової адекватності формування географічних компетентностей. Для учнів основної школи принципово важливо, щоб складність навчальних дій наростала логічно: від спостереження й опису – до порівняння та встановлення зв’язків, від роботи за зразком – до частково самостійного аналізу, від окремих фактів – до узагальнення, пояснення та прогностичної оцінки. Якщо навчання не має такої внутрішньої послідовності, компетентність не набуває системного характеру, а формується фрагментарно. Саме тому ефективність формування географічних компетентностей істотно залежить від того, наскільки вчитель дотримується </w:t>
      </w:r>
      <w:r w:rsidRPr="00692A1F">
        <w:rPr>
          <w:rFonts w:ascii="Times New Roman" w:hAnsi="Times New Roman" w:cs="Times New Roman"/>
          <w:sz w:val="28"/>
          <w:szCs w:val="28"/>
          <w:lang w:val="uk-UA"/>
        </w:rPr>
        <w:lastRenderedPageBreak/>
        <w:t>логіки поетапного розгортання змісту, умінь і способів діяльності, узгоджуючи їх із пізнавальними можливостями учнів і цілями конкретного етапу навчання.</w:t>
      </w:r>
    </w:p>
    <w:p w14:paraId="6D2D206C"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Не можна оминути й роль особистості вчителя як одного з ключових чинників ефективності. Якість формування географічних компетентностей прямо залежить від рівня його предметної, методичної, цифрової та дослідницької підготовки, а також від здатності здійснювати педагогічне проєктування, фасилітувати навчальний пошук і створювати атмосферу інтелектуальної співпраці. У сучасних дослідженнях із підготовки вчителів географії наголошується, що професійна компетентність педагога повинна охоплювати не лише знання змісту предмета, а й володіння методами організації самостійної, дослідницької, картографічної та цифрової діяльності учнів [32]. Це дозволяє стверджувати, що педагогічні умови формування учнівських компетентностей нерозривно пов’язані з професійною спроможністю самого вчителя реалізовувати компетентнісний підхід не декларативно, а технологічно й послідовно [38].</w:t>
      </w:r>
    </w:p>
    <w:p w14:paraId="7741B1C3"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Ефективність формування географічних компетентностей істотно підвищується в такому освітньому середовищі, яке підтримує активність учня, співпрацю, діалогічність і використання різних інформаційних ресурсів. OECD у своїх матеріалах про інноваційні навчальні середовища показує, що навчальне середовище має бути зосередженим на учневі, соціально насиченим, чутливим до мотивації, вимогливим до якості діяльності та організованим навколо постійного зворотного зв’язку [57]. Для географії це означає потребу в середовищі, де доступні карти, атласи, цифрові сервіси, статистичні матеріали, можливості для групового аналізу, обговорення й представлення результатів. Проте визначальним є не сам набір засобів, а їх педагогічна інтеграція в навчальний процес [</w:t>
      </w:r>
      <w:r w:rsidRPr="00692A1F">
        <w:rPr>
          <w:rFonts w:ascii="Times New Roman" w:hAnsi="Times New Roman" w:cs="Times New Roman"/>
          <w:sz w:val="28"/>
          <w:szCs w:val="28"/>
        </w:rPr>
        <w:t>17</w:t>
      </w:r>
      <w:r w:rsidRPr="00692A1F">
        <w:rPr>
          <w:rFonts w:ascii="Times New Roman" w:hAnsi="Times New Roman" w:cs="Times New Roman"/>
          <w:sz w:val="28"/>
          <w:szCs w:val="28"/>
          <w:lang w:val="uk-UA"/>
        </w:rPr>
        <w:t>]. Отже, ресурсне забезпечення стає чинником ефективності лише тоді, коли воно підпорядковане розвитку географічного мислення та компетентної діяльності учня.</w:t>
      </w:r>
    </w:p>
    <w:p w14:paraId="2E4D80A6"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 xml:space="preserve">Підсумовуючи, слід констатувати, що педагогічні умови формування географічних компетентностей мають системний характер і охоплюють </w:t>
      </w:r>
      <w:r w:rsidRPr="00692A1F">
        <w:rPr>
          <w:rFonts w:ascii="Times New Roman" w:hAnsi="Times New Roman" w:cs="Times New Roman"/>
          <w:sz w:val="28"/>
          <w:szCs w:val="28"/>
          <w:lang w:val="uk-UA"/>
        </w:rPr>
        <w:lastRenderedPageBreak/>
        <w:t>компетентнісне проєктування навчання, діяльнісну та дослідницьку організацію уроку, цілеспрямований розвиток картографічних і просторово-аналітичних умінь, зв’язок змісту з реальним життям, підтримку внутрішньої мотивації, застосування формувального оцінювання, поетапність формування навчальних дій, професійну готовність учителя та наявність педагогічно осмисленого освітнього середовища. Відповідно, чинники ефективності не можуть розглядатися ізольовано: лише їхня взаємодія забезпечує той результат, за якого учень не просто володіє окремими географічними відомостями, а здатний користуватися географією як інструментом пізнання, аналізу й практичної орієнтації у світі. Саме така логіка дозволяє розглядати формування географічних компетентностей як одну з провідних умов якісної сучасної географічної освіти в основній школі.</w:t>
      </w:r>
    </w:p>
    <w:p w14:paraId="6E4D2F0D" w14:textId="77777777" w:rsidR="004D658F" w:rsidRPr="00692A1F" w:rsidRDefault="004D658F" w:rsidP="004D658F">
      <w:pPr>
        <w:spacing w:after="0" w:line="360" w:lineRule="auto"/>
        <w:jc w:val="both"/>
        <w:rPr>
          <w:rFonts w:ascii="Times New Roman" w:hAnsi="Times New Roman" w:cs="Times New Roman"/>
          <w:sz w:val="28"/>
          <w:szCs w:val="28"/>
          <w:lang w:val="uk-UA"/>
        </w:rPr>
      </w:pPr>
    </w:p>
    <w:p w14:paraId="22130241" w14:textId="77777777" w:rsidR="004D658F" w:rsidRPr="00692A1F" w:rsidRDefault="004D658F" w:rsidP="004D658F">
      <w:pPr>
        <w:spacing w:after="0" w:line="360" w:lineRule="auto"/>
        <w:jc w:val="center"/>
        <w:rPr>
          <w:rFonts w:ascii="Times New Roman" w:hAnsi="Times New Roman" w:cs="Times New Roman"/>
          <w:sz w:val="28"/>
          <w:szCs w:val="28"/>
          <w:lang w:val="uk-UA"/>
        </w:rPr>
      </w:pPr>
    </w:p>
    <w:p w14:paraId="4E4A4D41" w14:textId="77777777" w:rsidR="004D658F" w:rsidRPr="00692A1F" w:rsidRDefault="004D658F" w:rsidP="004D658F">
      <w:pPr>
        <w:spacing w:after="0" w:line="360" w:lineRule="auto"/>
        <w:jc w:val="center"/>
        <w:rPr>
          <w:rFonts w:ascii="Times New Roman" w:hAnsi="Times New Roman" w:cs="Times New Roman"/>
          <w:b/>
          <w:bCs/>
          <w:sz w:val="28"/>
          <w:szCs w:val="28"/>
          <w:lang w:val="uk-UA"/>
        </w:rPr>
      </w:pPr>
      <w:r w:rsidRPr="00692A1F">
        <w:rPr>
          <w:rFonts w:ascii="Times New Roman" w:hAnsi="Times New Roman" w:cs="Times New Roman"/>
          <w:b/>
          <w:bCs/>
          <w:sz w:val="28"/>
          <w:szCs w:val="28"/>
          <w:lang w:val="uk-UA"/>
        </w:rPr>
        <w:t>Висновки до Розділу 2</w:t>
      </w:r>
    </w:p>
    <w:p w14:paraId="1382A80F" w14:textId="77777777" w:rsidR="004D658F" w:rsidRPr="00692A1F" w:rsidRDefault="004D658F" w:rsidP="004D658F">
      <w:pPr>
        <w:spacing w:after="0" w:line="360" w:lineRule="auto"/>
        <w:rPr>
          <w:rFonts w:ascii="Times New Roman" w:hAnsi="Times New Roman" w:cs="Times New Roman"/>
          <w:b/>
          <w:bCs/>
          <w:sz w:val="28"/>
          <w:szCs w:val="28"/>
          <w:lang w:val="uk-UA"/>
        </w:rPr>
      </w:pPr>
    </w:p>
    <w:p w14:paraId="1675FB14"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Географічна компетентність учнів основної школи є ключовим результатом сучасної географічної освіти, що передбачає не лише засвоєння знань, а й здатність використовувати їх у практичних ситуаціях. Вона охоплює систему знань, умінь, способів мислення, ціннісних орієнтацій і досвіду діяльності, які забезпечують пояснення просторових явищ і розв’язання навчальних та життєвих завдань.</w:t>
      </w:r>
    </w:p>
    <w:p w14:paraId="472DE783"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Діагностика рівня сформованості географічних компетентностей має комплексний характер і повинна враховувати різні критерії: змістовий (знання), операційно-діяльнісний (уміння працювати з картами та даними), мисленнєвий (просторове й причинно-наслідкове мислення), ціннісний та прикладний. Такий підхід дозволяє оцінити не лише відтворення матеріалу, а реальну здатність учня діяти на основі географічних знань.</w:t>
      </w:r>
    </w:p>
    <w:p w14:paraId="47175DBD"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Сучасні дослідження свідчать, що найбільш сформованими є знаннєві та відпрацьовані навчальні дії, тоді як практичні, дослідницькі та інформаційно-</w:t>
      </w:r>
      <w:r w:rsidRPr="00692A1F">
        <w:rPr>
          <w:rFonts w:ascii="Times New Roman" w:hAnsi="Times New Roman" w:cs="Times New Roman"/>
          <w:sz w:val="28"/>
          <w:szCs w:val="28"/>
          <w:lang w:val="uk-UA"/>
        </w:rPr>
        <w:lastRenderedPageBreak/>
        <w:t>пошукові компоненти залишаються слабкими. Значна частина учнів рідко використовує географічні знання у повсякденному житті, що вказує на розрив між навчанням і практикою.</w:t>
      </w:r>
    </w:p>
    <w:p w14:paraId="6673EAA2"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Ефективна діагностика повинна поєднувати різні методи: тестування, практичні та картографічні завдання, аналіз даних, спостереження, анкетування та самооцінювання. Це дозволяє виявити не лише рівень знань, а й причини труднощів – недостатність умінь, мотивації або досвіду застосування знань.</w:t>
      </w:r>
    </w:p>
    <w:p w14:paraId="07FD33EE"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Важливою умовою формування географічних компетентностей є якісне освітнє середовище, яке включає матеріальні, цифрові, методичні та соціально-комунікативні компоненти. Воно має забезпечувати можливість дослідження, роботи з інформацією, аналізу просторових процесів і самостійного здобуття знань.</w:t>
      </w:r>
    </w:p>
    <w:p w14:paraId="17BDD43B"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Особливу роль відіграють цифрові ресурси та геоінформаційні технології, які розширюють можливості дослідження та сприяють розвитку просторового мислення. Водночас ефективність їх використання залежить від методичної підготовки вчителя.</w:t>
      </w:r>
    </w:p>
    <w:p w14:paraId="688399B2"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Суттєвим компонентом є дослідницький підхід до навчання, який передбачає активну участь учнів у постановці запитань, зборі та аналізі даних, формулюванні висновків. Такий підхід сприяє глибшому розумінню географічних процесів і розвитку пізнавальної активності.</w:t>
      </w:r>
    </w:p>
    <w:p w14:paraId="1BAC3FB2"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Серед педагогічних умов ефективного формування географічних компетентностей визначальними є:</w:t>
      </w:r>
    </w:p>
    <w:p w14:paraId="3A145712"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компетентнісно орієнтоване планування навчання;</w:t>
      </w:r>
    </w:p>
    <w:p w14:paraId="395D2B5A"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діяльнісна організація уроку;</w:t>
      </w:r>
    </w:p>
    <w:p w14:paraId="4654DF0E"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використання дослідницьких методів;</w:t>
      </w:r>
    </w:p>
    <w:p w14:paraId="40FE013D"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розвиток картографічних і просторових умінь;</w:t>
      </w:r>
    </w:p>
    <w:p w14:paraId="6B82633D"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зв’язок навчання з реальним життям;</w:t>
      </w:r>
    </w:p>
    <w:p w14:paraId="04261273"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формувальне оцінювання;</w:t>
      </w:r>
    </w:p>
    <w:p w14:paraId="439E7FD9" w14:textId="77777777" w:rsidR="004D658F" w:rsidRPr="00692A1F" w:rsidRDefault="004D658F" w:rsidP="004D658F">
      <w:pPr>
        <w:pStyle w:val="a7"/>
        <w:numPr>
          <w:ilvl w:val="0"/>
          <w:numId w:val="11"/>
        </w:numPr>
        <w:spacing w:after="0" w:line="360" w:lineRule="auto"/>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підтримка внутрішньої мотивації учнів.</w:t>
      </w:r>
    </w:p>
    <w:p w14:paraId="329B78E8" w14:textId="77777777" w:rsidR="004D658F" w:rsidRPr="00692A1F"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lastRenderedPageBreak/>
        <w:t>Важливим чинником є також професійна готовність учителя, який має виступати не лише джерелом знань, а організатором пізнавальної діяльності та дослідження.</w:t>
      </w:r>
    </w:p>
    <w:p w14:paraId="117A244A" w14:textId="77777777" w:rsidR="004D658F" w:rsidRPr="0048527C" w:rsidRDefault="004D658F" w:rsidP="004D658F">
      <w:pPr>
        <w:spacing w:after="0" w:line="360" w:lineRule="auto"/>
        <w:ind w:firstLine="709"/>
        <w:jc w:val="both"/>
        <w:rPr>
          <w:rFonts w:ascii="Times New Roman" w:hAnsi="Times New Roman" w:cs="Times New Roman"/>
          <w:sz w:val="28"/>
          <w:szCs w:val="28"/>
          <w:lang w:val="uk-UA"/>
        </w:rPr>
      </w:pPr>
      <w:r w:rsidRPr="00692A1F">
        <w:rPr>
          <w:rFonts w:ascii="Times New Roman" w:hAnsi="Times New Roman" w:cs="Times New Roman"/>
          <w:sz w:val="28"/>
          <w:szCs w:val="28"/>
          <w:lang w:val="uk-UA"/>
        </w:rPr>
        <w:t>Отже, формування географічних компетентностей є складним і багатокомпонентним процесом, що вимагає поєднання змістових, методичних і організаційних умов. Основною проблемою залишається недостатня сформованість практичних і дослідницьких умінь учнів, що зумовлює необхідність посилення діяльнісного та прикладного аспектів навчання.</w:t>
      </w:r>
    </w:p>
    <w:p w14:paraId="0DA15B3D" w14:textId="1AB1A9C4" w:rsidR="004D658F" w:rsidRDefault="004D658F" w:rsidP="004D658F">
      <w:pPr>
        <w:spacing w:after="0" w:line="360" w:lineRule="auto"/>
        <w:jc w:val="center"/>
        <w:rPr>
          <w:rFonts w:ascii="Times New Roman" w:hAnsi="Times New Roman" w:cs="Times New Roman"/>
          <w:sz w:val="28"/>
          <w:szCs w:val="28"/>
          <w:lang w:val="uk-UA"/>
        </w:rPr>
      </w:pPr>
    </w:p>
    <w:p w14:paraId="2CCA74FC" w14:textId="6DF6A489" w:rsidR="004D658F" w:rsidRDefault="004D658F" w:rsidP="004D658F">
      <w:pPr>
        <w:spacing w:after="0" w:line="360" w:lineRule="auto"/>
        <w:jc w:val="center"/>
        <w:rPr>
          <w:rFonts w:ascii="Times New Roman" w:hAnsi="Times New Roman" w:cs="Times New Roman"/>
          <w:sz w:val="28"/>
          <w:szCs w:val="28"/>
          <w:lang w:val="uk-UA"/>
        </w:rPr>
      </w:pPr>
    </w:p>
    <w:p w14:paraId="2A13166E" w14:textId="39503AC6" w:rsidR="004D658F" w:rsidRDefault="004D658F" w:rsidP="004D658F">
      <w:pPr>
        <w:spacing w:after="0" w:line="360" w:lineRule="auto"/>
        <w:jc w:val="center"/>
        <w:rPr>
          <w:rFonts w:ascii="Times New Roman" w:hAnsi="Times New Roman" w:cs="Times New Roman"/>
          <w:sz w:val="28"/>
          <w:szCs w:val="28"/>
          <w:lang w:val="uk-UA"/>
        </w:rPr>
      </w:pPr>
    </w:p>
    <w:p w14:paraId="55EB9C57" w14:textId="4AD98A59" w:rsidR="004D658F" w:rsidRDefault="004D658F" w:rsidP="004D658F">
      <w:pPr>
        <w:spacing w:after="0" w:line="360" w:lineRule="auto"/>
        <w:jc w:val="center"/>
        <w:rPr>
          <w:rFonts w:ascii="Times New Roman" w:hAnsi="Times New Roman" w:cs="Times New Roman"/>
          <w:sz w:val="28"/>
          <w:szCs w:val="28"/>
          <w:lang w:val="uk-UA"/>
        </w:rPr>
      </w:pPr>
    </w:p>
    <w:p w14:paraId="169D62E2" w14:textId="2EE736D1" w:rsidR="004D658F" w:rsidRDefault="004D658F" w:rsidP="004D658F">
      <w:pPr>
        <w:spacing w:after="0" w:line="360" w:lineRule="auto"/>
        <w:jc w:val="center"/>
        <w:rPr>
          <w:rFonts w:ascii="Times New Roman" w:hAnsi="Times New Roman" w:cs="Times New Roman"/>
          <w:sz w:val="28"/>
          <w:szCs w:val="28"/>
          <w:lang w:val="uk-UA"/>
        </w:rPr>
      </w:pPr>
    </w:p>
    <w:p w14:paraId="772ECB09" w14:textId="593013AD" w:rsidR="004D658F" w:rsidRDefault="004D658F" w:rsidP="004D658F">
      <w:pPr>
        <w:spacing w:after="0" w:line="360" w:lineRule="auto"/>
        <w:jc w:val="center"/>
        <w:rPr>
          <w:rFonts w:ascii="Times New Roman" w:hAnsi="Times New Roman" w:cs="Times New Roman"/>
          <w:sz w:val="28"/>
          <w:szCs w:val="28"/>
          <w:lang w:val="uk-UA"/>
        </w:rPr>
      </w:pPr>
    </w:p>
    <w:p w14:paraId="246FB3FC" w14:textId="6C587FBE" w:rsidR="004D658F" w:rsidRDefault="004D658F" w:rsidP="004D658F">
      <w:pPr>
        <w:spacing w:after="0" w:line="360" w:lineRule="auto"/>
        <w:jc w:val="center"/>
        <w:rPr>
          <w:rFonts w:ascii="Times New Roman" w:hAnsi="Times New Roman" w:cs="Times New Roman"/>
          <w:sz w:val="28"/>
          <w:szCs w:val="28"/>
          <w:lang w:val="uk-UA"/>
        </w:rPr>
      </w:pPr>
    </w:p>
    <w:p w14:paraId="1A299AE1" w14:textId="49277125" w:rsidR="004D658F" w:rsidRDefault="004D658F" w:rsidP="004D658F">
      <w:pPr>
        <w:spacing w:after="0" w:line="360" w:lineRule="auto"/>
        <w:jc w:val="center"/>
        <w:rPr>
          <w:rFonts w:ascii="Times New Roman" w:hAnsi="Times New Roman" w:cs="Times New Roman"/>
          <w:sz w:val="28"/>
          <w:szCs w:val="28"/>
          <w:lang w:val="uk-UA"/>
        </w:rPr>
      </w:pPr>
    </w:p>
    <w:p w14:paraId="092C7641" w14:textId="09C15EFA" w:rsidR="004D658F" w:rsidRDefault="004D658F" w:rsidP="004D658F">
      <w:pPr>
        <w:spacing w:after="0" w:line="360" w:lineRule="auto"/>
        <w:jc w:val="center"/>
        <w:rPr>
          <w:rFonts w:ascii="Times New Roman" w:hAnsi="Times New Roman" w:cs="Times New Roman"/>
          <w:sz w:val="28"/>
          <w:szCs w:val="28"/>
          <w:lang w:val="uk-UA"/>
        </w:rPr>
      </w:pPr>
    </w:p>
    <w:p w14:paraId="5A655B9C" w14:textId="7D7851C0" w:rsidR="004D658F" w:rsidRDefault="004D658F" w:rsidP="004D658F">
      <w:pPr>
        <w:spacing w:after="0" w:line="360" w:lineRule="auto"/>
        <w:jc w:val="center"/>
        <w:rPr>
          <w:rFonts w:ascii="Times New Roman" w:hAnsi="Times New Roman" w:cs="Times New Roman"/>
          <w:sz w:val="28"/>
          <w:szCs w:val="28"/>
          <w:lang w:val="uk-UA"/>
        </w:rPr>
      </w:pPr>
    </w:p>
    <w:p w14:paraId="0BE52A0A" w14:textId="718A7BB3" w:rsidR="004D658F" w:rsidRDefault="004D658F" w:rsidP="004D658F">
      <w:pPr>
        <w:spacing w:after="0" w:line="360" w:lineRule="auto"/>
        <w:jc w:val="center"/>
        <w:rPr>
          <w:rFonts w:ascii="Times New Roman" w:hAnsi="Times New Roman" w:cs="Times New Roman"/>
          <w:sz w:val="28"/>
          <w:szCs w:val="28"/>
          <w:lang w:val="uk-UA"/>
        </w:rPr>
      </w:pPr>
    </w:p>
    <w:p w14:paraId="68B87976" w14:textId="08189264" w:rsidR="004D658F" w:rsidRDefault="004D658F" w:rsidP="004D658F">
      <w:pPr>
        <w:spacing w:after="0" w:line="360" w:lineRule="auto"/>
        <w:jc w:val="center"/>
        <w:rPr>
          <w:rFonts w:ascii="Times New Roman" w:hAnsi="Times New Roman" w:cs="Times New Roman"/>
          <w:sz w:val="28"/>
          <w:szCs w:val="28"/>
          <w:lang w:val="uk-UA"/>
        </w:rPr>
      </w:pPr>
    </w:p>
    <w:p w14:paraId="31B4B6BC" w14:textId="7CD30ACF" w:rsidR="004D658F" w:rsidRDefault="004D658F" w:rsidP="004D658F">
      <w:pPr>
        <w:spacing w:after="0" w:line="360" w:lineRule="auto"/>
        <w:jc w:val="center"/>
        <w:rPr>
          <w:rFonts w:ascii="Times New Roman" w:hAnsi="Times New Roman" w:cs="Times New Roman"/>
          <w:sz w:val="28"/>
          <w:szCs w:val="28"/>
          <w:lang w:val="uk-UA"/>
        </w:rPr>
      </w:pPr>
    </w:p>
    <w:p w14:paraId="47529019" w14:textId="456EF44F" w:rsidR="004D658F" w:rsidRDefault="004D658F" w:rsidP="004D658F">
      <w:pPr>
        <w:spacing w:after="0" w:line="360" w:lineRule="auto"/>
        <w:jc w:val="center"/>
        <w:rPr>
          <w:rFonts w:ascii="Times New Roman" w:hAnsi="Times New Roman" w:cs="Times New Roman"/>
          <w:sz w:val="28"/>
          <w:szCs w:val="28"/>
          <w:lang w:val="uk-UA"/>
        </w:rPr>
      </w:pPr>
    </w:p>
    <w:p w14:paraId="4C9F63C0" w14:textId="19C2898E" w:rsidR="004D658F" w:rsidRDefault="004D658F" w:rsidP="004D658F">
      <w:pPr>
        <w:spacing w:after="0" w:line="360" w:lineRule="auto"/>
        <w:jc w:val="center"/>
        <w:rPr>
          <w:rFonts w:ascii="Times New Roman" w:hAnsi="Times New Roman" w:cs="Times New Roman"/>
          <w:sz w:val="28"/>
          <w:szCs w:val="28"/>
          <w:lang w:val="uk-UA"/>
        </w:rPr>
      </w:pPr>
    </w:p>
    <w:p w14:paraId="5723C707" w14:textId="12974B76" w:rsidR="004D658F" w:rsidRDefault="004D658F" w:rsidP="004D658F">
      <w:pPr>
        <w:spacing w:after="0" w:line="360" w:lineRule="auto"/>
        <w:jc w:val="center"/>
        <w:rPr>
          <w:rFonts w:ascii="Times New Roman" w:hAnsi="Times New Roman" w:cs="Times New Roman"/>
          <w:sz w:val="28"/>
          <w:szCs w:val="28"/>
          <w:lang w:val="uk-UA"/>
        </w:rPr>
      </w:pPr>
    </w:p>
    <w:p w14:paraId="5136A144" w14:textId="37D59EC5" w:rsidR="004D658F" w:rsidRDefault="004D658F" w:rsidP="004D658F">
      <w:pPr>
        <w:spacing w:after="0" w:line="360" w:lineRule="auto"/>
        <w:jc w:val="center"/>
        <w:rPr>
          <w:rFonts w:ascii="Times New Roman" w:hAnsi="Times New Roman" w:cs="Times New Roman"/>
          <w:sz w:val="28"/>
          <w:szCs w:val="28"/>
          <w:lang w:val="uk-UA"/>
        </w:rPr>
      </w:pPr>
    </w:p>
    <w:p w14:paraId="1938C914" w14:textId="3286D21E" w:rsidR="004D658F" w:rsidRDefault="004D658F" w:rsidP="004D658F">
      <w:pPr>
        <w:spacing w:after="0" w:line="360" w:lineRule="auto"/>
        <w:jc w:val="center"/>
        <w:rPr>
          <w:rFonts w:ascii="Times New Roman" w:hAnsi="Times New Roman" w:cs="Times New Roman"/>
          <w:sz w:val="28"/>
          <w:szCs w:val="28"/>
          <w:lang w:val="uk-UA"/>
        </w:rPr>
      </w:pPr>
    </w:p>
    <w:p w14:paraId="7937982B" w14:textId="64D5B091" w:rsidR="004D658F" w:rsidRDefault="004D658F" w:rsidP="004D658F">
      <w:pPr>
        <w:spacing w:after="0" w:line="360" w:lineRule="auto"/>
        <w:jc w:val="center"/>
        <w:rPr>
          <w:rFonts w:ascii="Times New Roman" w:hAnsi="Times New Roman" w:cs="Times New Roman"/>
          <w:sz w:val="28"/>
          <w:szCs w:val="28"/>
          <w:lang w:val="uk-UA"/>
        </w:rPr>
      </w:pPr>
    </w:p>
    <w:p w14:paraId="74E389C2" w14:textId="77777777" w:rsidR="004D658F" w:rsidRDefault="004D658F" w:rsidP="004D658F">
      <w:pPr>
        <w:spacing w:after="0" w:line="360" w:lineRule="auto"/>
        <w:jc w:val="center"/>
        <w:rPr>
          <w:rFonts w:ascii="Times New Roman" w:hAnsi="Times New Roman" w:cs="Times New Roman"/>
          <w:sz w:val="28"/>
          <w:szCs w:val="28"/>
          <w:lang w:val="uk-UA"/>
        </w:rPr>
      </w:pPr>
    </w:p>
    <w:p w14:paraId="22B8BD30" w14:textId="243E9FF9" w:rsidR="004D658F" w:rsidRDefault="004D658F" w:rsidP="004D658F">
      <w:pPr>
        <w:spacing w:after="0" w:line="360" w:lineRule="auto"/>
        <w:jc w:val="center"/>
        <w:rPr>
          <w:rFonts w:ascii="Times New Roman" w:hAnsi="Times New Roman" w:cs="Times New Roman"/>
          <w:sz w:val="28"/>
          <w:szCs w:val="28"/>
          <w:lang w:val="uk-UA"/>
        </w:rPr>
      </w:pPr>
    </w:p>
    <w:p w14:paraId="63D1731D" w14:textId="77777777" w:rsidR="004D658F" w:rsidRDefault="004D658F" w:rsidP="004D658F">
      <w:pPr>
        <w:spacing w:after="0" w:line="360" w:lineRule="auto"/>
        <w:jc w:val="center"/>
        <w:rPr>
          <w:rFonts w:ascii="Times New Roman" w:hAnsi="Times New Roman" w:cs="Times New Roman"/>
          <w:b/>
          <w:bCs/>
          <w:sz w:val="28"/>
          <w:szCs w:val="28"/>
          <w:lang w:val="uk-UA"/>
        </w:rPr>
      </w:pPr>
      <w:r w:rsidRPr="00E5744C">
        <w:rPr>
          <w:rFonts w:ascii="Times New Roman" w:hAnsi="Times New Roman" w:cs="Times New Roman"/>
          <w:b/>
          <w:bCs/>
          <w:sz w:val="28"/>
          <w:szCs w:val="28"/>
          <w:lang w:val="uk-UA"/>
        </w:rPr>
        <w:lastRenderedPageBreak/>
        <w:t>РОЗДІЛ 3. МЕТОДИЧНІ ОСНОВИ РЕАЛІЗАЦІЇ ДОСЛІДНИЦЬКОГО ПІДХОДУ У НАВЧАННІ ГЕОГРАФІЇ  </w:t>
      </w:r>
    </w:p>
    <w:p w14:paraId="753A0489" w14:textId="77777777" w:rsidR="004D658F" w:rsidRDefault="004D658F" w:rsidP="004D658F">
      <w:pPr>
        <w:spacing w:after="0" w:line="360" w:lineRule="auto"/>
        <w:jc w:val="center"/>
        <w:rPr>
          <w:rFonts w:ascii="Times New Roman" w:hAnsi="Times New Roman" w:cs="Times New Roman"/>
          <w:b/>
          <w:bCs/>
          <w:sz w:val="28"/>
          <w:szCs w:val="28"/>
          <w:lang w:val="uk-UA"/>
        </w:rPr>
      </w:pPr>
    </w:p>
    <w:p w14:paraId="4DCCF647" w14:textId="77777777" w:rsidR="004D658F" w:rsidRDefault="004D658F" w:rsidP="004D658F">
      <w:pPr>
        <w:spacing w:after="0" w:line="360" w:lineRule="auto"/>
        <w:jc w:val="center"/>
        <w:rPr>
          <w:rFonts w:ascii="Times New Roman" w:hAnsi="Times New Roman" w:cs="Times New Roman"/>
          <w:b/>
          <w:bCs/>
          <w:sz w:val="28"/>
          <w:szCs w:val="28"/>
          <w:lang w:val="uk-UA"/>
        </w:rPr>
      </w:pPr>
    </w:p>
    <w:p w14:paraId="4B10DB08" w14:textId="77777777" w:rsidR="004D658F" w:rsidRDefault="004D658F" w:rsidP="004D658F">
      <w:pPr>
        <w:spacing w:after="0" w:line="360" w:lineRule="auto"/>
        <w:jc w:val="center"/>
        <w:rPr>
          <w:rFonts w:ascii="Times New Roman" w:hAnsi="Times New Roman" w:cs="Times New Roman"/>
          <w:b/>
          <w:bCs/>
          <w:sz w:val="28"/>
          <w:szCs w:val="28"/>
          <w:lang w:val="uk-UA"/>
        </w:rPr>
      </w:pPr>
      <w:r w:rsidRPr="00E5744C">
        <w:rPr>
          <w:rFonts w:ascii="Times New Roman" w:hAnsi="Times New Roman" w:cs="Times New Roman"/>
          <w:b/>
          <w:bCs/>
          <w:sz w:val="28"/>
          <w:szCs w:val="28"/>
          <w:lang w:val="uk-UA"/>
        </w:rPr>
        <w:t>3.1. Модель формування географічних компетентностей учнів засобами дослідницької діяльності</w:t>
      </w:r>
    </w:p>
    <w:p w14:paraId="60AFA88E" w14:textId="77777777" w:rsidR="004D658F" w:rsidRDefault="004D658F" w:rsidP="004D658F">
      <w:pPr>
        <w:spacing w:after="0" w:line="360" w:lineRule="auto"/>
        <w:rPr>
          <w:rFonts w:ascii="Times New Roman" w:hAnsi="Times New Roman" w:cs="Times New Roman"/>
          <w:b/>
          <w:bCs/>
          <w:sz w:val="28"/>
          <w:szCs w:val="28"/>
          <w:lang w:val="uk-UA"/>
        </w:rPr>
      </w:pPr>
    </w:p>
    <w:p w14:paraId="4DE249F1"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Розроблення моделі формування географічних компетентностей учнів засобами дослідницької діяльності зумовлене не лише загальною логікою компетентнісної трансформації сучасної школи, а й внутрішньою природою самої географії як науки, що поєднує просторовий аналіз, роботу з різнорідними джерелами, польове спостереження, інтерпретацію статистики, картографування, виявлення причинно-наслідкових зв’язків між природними й суспільними процесами. Державний стандарт базової середньої освіти орієнтує освітній процес не на відтворення ізольованих фактів, а на досягнення обов’язкових результатів навчання та формування компетентностей, тоді як сучасні підходи до географічної освіти підкреслюють, що саме дослідницька логіка навчання найбільш адекватно відповідає змісту предмета, оскільки дозволяє учневі переходити від опису території до пояснення процесів, від сприйняття карти як ілюстрації до використання її як інструмента аналізу. </w:t>
      </w:r>
    </w:p>
    <w:p w14:paraId="7D3B9423"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У науково-методичному вимірі така модель розглядається як структурована система взаємопов’язаних цільових, змістових, процесуальних, діяльнісних та діагностично-результативних компонентів, яка визначає не лише що саме має бути сформовано в учня, а й у який спосіб, у якій послідовності, за допомогою яких методів та за якими показниками може бути виявлена ефективність цієї роботи. Підставою для конструювання саме такої моделі стали українські дослідження у сфері географічної компетентності, де предметна компетентність інтерпретується як здатність застосовувати географічні знання, уміння, способи мислення й ціннісні орієнтації для розуміння довкілля, </w:t>
      </w:r>
      <w:r w:rsidRPr="002D5E7C">
        <w:rPr>
          <w:rFonts w:ascii="Times New Roman" w:hAnsi="Times New Roman" w:cs="Times New Roman"/>
          <w:sz w:val="28"/>
          <w:szCs w:val="28"/>
          <w:lang w:val="uk-UA"/>
        </w:rPr>
        <w:lastRenderedPageBreak/>
        <w:t>прогнозування наслідків людської діяльності та прийняття відповідальних рішень у просторі життєдіяльності</w:t>
      </w:r>
      <w:r>
        <w:rPr>
          <w:rFonts w:ascii="Times New Roman" w:hAnsi="Times New Roman" w:cs="Times New Roman"/>
          <w:sz w:val="28"/>
          <w:szCs w:val="28"/>
          <w:lang w:val="uk-UA"/>
        </w:rPr>
        <w:t>.</w:t>
      </w:r>
    </w:p>
    <w:p w14:paraId="71AF1100"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Цільовий блок запропонованої моделі було визначено як спрямований на поетапне формування в учнів п’ятого-дев’ятого класів здатності досліджувати географічні об’єкти, явища й процеси на основі спостереження, порівняння, вимірювання, аналізу картографічних та статистичних джерел, формулювання припущень, аргументованого висновку та представлення результатів власної роботи. Метою моделі стало не формальне включення окремих «дослідницьких» вправ у традиційний урок, а системне перетворення навчальної діяльності на послідовність інтелектуально й практично вмотивованих дій, у ході яких учень опановує способи географічного пізнання. Відповідно до цього основними завданнями моделі визначено розвиток пізнавальної ініціативи, формування предметної географічної компетентності, розвиток дослідницьких умінь, удосконалення просторового мислення, формування навичок роботи з даними та становлення відповідального ставлення до довкілля й локальної території. </w:t>
      </w:r>
    </w:p>
    <w:p w14:paraId="642C2ACD"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Очікуваним результатом функціонування цієї моделі визначено не лише приріст знань з окремих тем курсу, а насамперед якісну зміну характеру навчальної діяльності учнів. Ідеться про перехід від репродуктивного сприйняття географічного матеріалу до інтерпретаційного й аналітичного рівня, коли учень уміє поставити запитання до карти, зіставити дані різних джерел, виявити територіальні закономірності, пояснити просторові відмінності та обґрунтувати власний висновок. Такий підхід узгоджується з сучасними міжнародними уявленнями про компетентності як поєднання знань, умінь, ставлень і цінностей, необхідних для діяльнісного входження в складний світ, а в географічній освіті набуває особливої ваги через потребу навчити учня мислити на різних масштабних рівнях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від локального середовища до глобальних процесів. </w:t>
      </w:r>
    </w:p>
    <w:p w14:paraId="0D72F9C7"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Змістовий блок моделі було побудовано з урахуванням того, що географічна компетентність у базовій школі має комплексний характер і охоплює картографічну грамотність, просторове мислення, уміння працювати з </w:t>
      </w:r>
      <w:r w:rsidRPr="002D5E7C">
        <w:rPr>
          <w:rFonts w:ascii="Times New Roman" w:hAnsi="Times New Roman" w:cs="Times New Roman"/>
          <w:sz w:val="28"/>
          <w:szCs w:val="28"/>
          <w:lang w:val="uk-UA"/>
        </w:rPr>
        <w:lastRenderedPageBreak/>
        <w:t xml:space="preserve">природничою та суспільно-географічною інформацією, здатність аналізувати зв’язки між компонентами природи, населенням, господарством і довкіллям, а також уміння застосовувати знання для розв’язання навчальних і життєвих проблем. У цьому блоці дослідницька діяльність не розглядається як окремий додаток до програми, а як спосіб засвоєння навчального змісту. Саме тому в модель інтегровано ті компоненти, які в українських наукових працях визначаються як ядро предметної географічної компетентності: знаннєвий, операційно-діяльнісний, ціннісно-мотиваційний та рефлексивний. </w:t>
      </w:r>
    </w:p>
    <w:p w14:paraId="0EE51213"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Змістове наповнення моделі було конкретизовано відповідно до тем курсу географії п’ятого-дев’ятого класів, які мають найбільший дослідницький потенціал. У п’ятому класі це теми, пов’язані з орієнтуванням, планом місцевості, погодними спостереженнями, елементарним аналізом природних компонентів свого краю; у шостому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форми рельєфу, води суходолу, атмосферні явища, взаємозв’язки оболонок Землі; у сьомому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природні зони, кліматичні пояси, материки й океани, порівняння територій; у восьмому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природні умови та ресурси України, населення, регіональні відмінності; у дев’ятому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населення і господарство України та світу, статистичні закономірності, просторові відмінності економічного розвитку. Такий добір відповідає програмним орієнтирам, у яких прямо підкреслено практичну спрямованість, порівняльний підхід, цифрову інтеграцію, роботу з картами, статистичними платформами та зовнішніми ресурсами</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w:t>
      </w:r>
    </w:p>
    <w:p w14:paraId="04F32106"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Процесуальний блок моделі було побудовано як послідовність взаємопов’язаних етапів, кожен із яких має власну дидактичну функцію. На мотиваційно-проблемному етапі учні стикалися з конкретною географічною ситуацією, суперечністю або запитанням, що вимагало не відтворення готової відповіді, а пояснення. На пошуково-проєктувальному етапі формулювалися дослідницькі питання, добиралися джерела, уточнювалися способи збору даних. На операційно-дослідницькому етапі виконувалися спостереження, вимірювання, робота з картою, таблицею, діаграмою, статистичними наборами, анкетами, фотоматеріалами або польовими нотатками. На аналітико-</w:t>
      </w:r>
      <w:r w:rsidRPr="002D5E7C">
        <w:rPr>
          <w:rFonts w:ascii="Times New Roman" w:hAnsi="Times New Roman" w:cs="Times New Roman"/>
          <w:sz w:val="28"/>
          <w:szCs w:val="28"/>
          <w:lang w:val="uk-UA"/>
        </w:rPr>
        <w:lastRenderedPageBreak/>
        <w:t xml:space="preserve">узагальнювальному етапі дані зіставлялися, інтерпретувалися та оформлювалися у висновки. На рефлексивно-презентаційному етапі учні представляли результати, оцінювали надійність своїх дій і визначали, що саме дозволило отримати обґрунтовану відповідь. Така логіка збігається з описаними в дослідженнях рівнями й циклами inquiry-based learning, де ступінь самостійності учня поступово зростає від керованого відкриття до відкритого дослідження. </w:t>
      </w:r>
    </w:p>
    <w:p w14:paraId="7E46868B"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Принципово важливим у процесуальному блоці стало розмежування ролей учителя й учня. У запропонованій моделі вчитель не виступає єдиним носієм завершеного знання, а виконує функції проєктувальника освітньої ситуації, модератора дослідницького процесу, консультанта під час відбору джерел, організатора рефлексії та гаранта академічної коректності виконуваної роботи. Учень, своєю чергою, переходить від позиції пасивного виконавця до позиції суб’єкта пізнання: ставить уточнювальні запитання, добирає спосіб аналізу, аргументує висновок, коригує попередні гіпотези й презентує результати. Саме така зміна ролей є методично виправданою для географії, оскільки предмет вимагає багатоперспективного розгляду просторових явищ і постійного співвіднесення фактів із конкретними територіями, картографічними образами та соціально-природними контекстами.</w:t>
      </w:r>
    </w:p>
    <w:p w14:paraId="72A47881"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Діяльнісний блок моделі охопив конкретні види дослідницької активності, релевантні для географічної освіти базової школи. До них було віднесено систематичне спостереження за погодою та сезонними змінами, порівняння природних і суспільно-географічних характеристик територій, елементарні вимірювання під час роботи на місцевості, читання та інтерпретацію фізичних і тематичних карт, аналіз статистичних таблиць і діаграм, побудову простих картосхем, виконання мініпроєктів, проведення анкетувань у межах локальних соціально-географічних тем, а також польові дослідження найближчого довкілля. Таке наповнення не є довільним: українські дослідження прямо вказують, що прикладна сторона дослідницької компетентності включає вміння вимірювати, фіксувати результати, оцінювати точність вимірювань, </w:t>
      </w:r>
      <w:r w:rsidRPr="002D5E7C">
        <w:rPr>
          <w:rFonts w:ascii="Times New Roman" w:hAnsi="Times New Roman" w:cs="Times New Roman"/>
          <w:sz w:val="28"/>
          <w:szCs w:val="28"/>
          <w:lang w:val="uk-UA"/>
        </w:rPr>
        <w:lastRenderedPageBreak/>
        <w:t>класифікувати об’єкти, явища або процеси, встановлювати причинно-наслідкові зв’язки та презентувати результати дослідження.</w:t>
      </w:r>
    </w:p>
    <w:p w14:paraId="2AAFF05D"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Практичне втілення моделі було здійснено у форматі реального методичного проєкту під час педагогічної практики у шостому та дев’ятому класах. В основу апробації покладено ідею поступового нарощування самостійності учнів: для шостого класу були розроблені керовані дослідницькі завдання з чіткою послідовністю дій і наперед окресленим набором джерел, тоді як для дев’ятого класу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аналітичні мінідослідження з більшою часткою самостійного формулювання проміжних висновків, вибору показників для порівняння та способів візуалізації результатів. Такий розподіл відповідав як віковим можливостям учнів, так і логіці inquiry-based learning, де від учителя очікується варіювання рівня підтримки залежно від складності завдання та сформованості в учнів дослідницьких умінь. </w:t>
      </w:r>
    </w:p>
    <w:p w14:paraId="3AA4F13C"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У шостому класі модель реалізовувалася під час вивчення тем, пов’язаних з атмосферою, водами суходолу та рельєфом. Учням пропонувалися завдання на локальне спостереження, роботу з погодними даними, порівняння стану зволоження різних ділянок місцевості, виявлення залежності між рельєфом і характером поверхневого стоку, побудову простих схем та коротких описів причин виявлених відмінностей. Методично важливим було те, що кожне завдання завершувалося не перевіркою окремого факту, а вимогою до пояснення: чому на певній території спостерігається саме така ситуація, які фактори можуть її зумовлювати, які дані це підтверджують, наскільки надійним є зроблений висновок. Таким чином географічний зміст засвоювався через процедуру дослідження, а не через механічне відтворення визначень. </w:t>
      </w:r>
    </w:p>
    <w:p w14:paraId="64C74F48"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У дев’ятому класі практичне втілення моделі було зосереджене на суспільно-географічному змісті, де особливо продуктивними виявилися завдання з аналізу демографічних і соціально-економічних показників, порівняння регіональних відмінностей, інтерпретації статистичних таблиць, побудови діаграм та картосхем. Учні працювали з публічними статистичними даними, зіставляли показники густоти населення, урбанізації, структури </w:t>
      </w:r>
      <w:r w:rsidRPr="002D5E7C">
        <w:rPr>
          <w:rFonts w:ascii="Times New Roman" w:hAnsi="Times New Roman" w:cs="Times New Roman"/>
          <w:sz w:val="28"/>
          <w:szCs w:val="28"/>
          <w:lang w:val="uk-UA"/>
        </w:rPr>
        <w:lastRenderedPageBreak/>
        <w:t>зайнятості або господарської спеціалізації, а потім пояснювали, як природні умови, історичний розвиток, транспортне положення та ресурсний потенціал впливають на виявлені територіальні контрасти. Саме в цьому сегменті дослідницький підхід виявив свою продуктивність найбільш виразно, оскільки спонукав учнів поєднувати кількісні дані з просторовою інтерпретацією, а не обмежуватися переказом підручникової інформації.</w:t>
      </w:r>
    </w:p>
    <w:p w14:paraId="4D3957BE" w14:textId="77777777" w:rsidR="004D658F" w:rsidRDefault="004D658F" w:rsidP="004D65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таблиці 3.1 </w:t>
      </w:r>
      <w:r w:rsidRPr="002D5E7C">
        <w:rPr>
          <w:rFonts w:ascii="Times New Roman" w:hAnsi="Times New Roman" w:cs="Times New Roman"/>
          <w:sz w:val="28"/>
          <w:szCs w:val="28"/>
          <w:lang w:val="uk-UA"/>
        </w:rPr>
        <w:t>відображ</w:t>
      </w:r>
      <w:r>
        <w:rPr>
          <w:rFonts w:ascii="Times New Roman" w:hAnsi="Times New Roman" w:cs="Times New Roman"/>
          <w:sz w:val="28"/>
          <w:szCs w:val="28"/>
          <w:lang w:val="uk-UA"/>
        </w:rPr>
        <w:t>ено</w:t>
      </w:r>
      <w:r w:rsidRPr="002D5E7C">
        <w:rPr>
          <w:rFonts w:ascii="Times New Roman" w:hAnsi="Times New Roman" w:cs="Times New Roman"/>
          <w:sz w:val="28"/>
          <w:szCs w:val="28"/>
          <w:lang w:val="uk-UA"/>
        </w:rPr>
        <w:t xml:space="preserve"> принципову для моделі ідею: жоден її блок не функціонує ізольовано. Цільові орієнтири визначають добір змісту, зміст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характер діяльності, діяльність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процесуальну організацію, а діагностично-результативний блок забезпечує перевірку того, чи відбулося реальне, а не декларативне формування географічної компетентності. Саме тому модель не зводиться до переліку методів або форм роботи; вона задає цілісну педагогічну архітектоніку, у межах якої урок географії набуває ознак дослідницького простору. </w:t>
      </w:r>
    </w:p>
    <w:p w14:paraId="2BE80504" w14:textId="77777777" w:rsidR="004D658F" w:rsidRDefault="004D658F" w:rsidP="004D658F">
      <w:pPr>
        <w:spacing w:after="0" w:line="360" w:lineRule="auto"/>
        <w:jc w:val="both"/>
        <w:rPr>
          <w:rFonts w:ascii="Times New Roman" w:hAnsi="Times New Roman" w:cs="Times New Roman"/>
          <w:sz w:val="28"/>
          <w:szCs w:val="28"/>
          <w:lang w:val="uk-UA"/>
        </w:rPr>
      </w:pPr>
    </w:p>
    <w:p w14:paraId="7F1540FE" w14:textId="77777777" w:rsidR="004D658F" w:rsidRDefault="004D658F" w:rsidP="004D658F">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14:paraId="6D6B489B" w14:textId="77777777" w:rsidR="004D658F" w:rsidRPr="002D5E7C" w:rsidRDefault="004D658F" w:rsidP="004D658F">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lang w:val="uk-UA"/>
        </w:rPr>
        <w:t xml:space="preserve">Взаємозв’язок між структурними блоками моделі </w:t>
      </w:r>
      <w:r w:rsidRPr="002D5E7C">
        <w:rPr>
          <w:rFonts w:ascii="Times New Roman" w:hAnsi="Times New Roman" w:cs="Times New Roman"/>
          <w:sz w:val="28"/>
          <w:szCs w:val="28"/>
        </w:rPr>
        <w:t>[</w:t>
      </w:r>
      <w:r>
        <w:rPr>
          <w:rFonts w:ascii="Times New Roman" w:hAnsi="Times New Roman" w:cs="Times New Roman"/>
          <w:sz w:val="28"/>
          <w:szCs w:val="28"/>
          <w:lang w:val="uk-UA"/>
        </w:rPr>
        <w:t>складено автором</w:t>
      </w:r>
      <w:r w:rsidRPr="002D5E7C">
        <w:rPr>
          <w:rFonts w:ascii="Times New Roman" w:hAnsi="Times New Roman" w:cs="Times New Roman"/>
          <w:sz w:val="28"/>
          <w:szCs w:val="28"/>
        </w:rPr>
        <w:t>]</w:t>
      </w:r>
    </w:p>
    <w:tbl>
      <w:tblPr>
        <w:tblStyle w:val="a8"/>
        <w:tblW w:w="0" w:type="auto"/>
        <w:tblLook w:val="04A0" w:firstRow="1" w:lastRow="0" w:firstColumn="1" w:lastColumn="0" w:noHBand="0" w:noVBand="1"/>
      </w:tblPr>
      <w:tblGrid>
        <w:gridCol w:w="1696"/>
        <w:gridCol w:w="2835"/>
        <w:gridCol w:w="2748"/>
        <w:gridCol w:w="2350"/>
      </w:tblGrid>
      <w:tr w:rsidR="004D658F" w:rsidRPr="002D5E7C" w14:paraId="04579BB8" w14:textId="77777777" w:rsidTr="0046298E">
        <w:tc>
          <w:tcPr>
            <w:tcW w:w="1696" w:type="dxa"/>
            <w:vAlign w:val="center"/>
          </w:tcPr>
          <w:p w14:paraId="47CD57B9" w14:textId="77777777" w:rsidR="004D658F" w:rsidRPr="002D5E7C" w:rsidRDefault="004D658F" w:rsidP="0046298E">
            <w:pPr>
              <w:jc w:val="center"/>
              <w:rPr>
                <w:rFonts w:ascii="Times New Roman" w:hAnsi="Times New Roman" w:cs="Times New Roman"/>
                <w:sz w:val="28"/>
                <w:szCs w:val="28"/>
                <w:lang w:val="uk-UA"/>
              </w:rPr>
            </w:pPr>
            <w:r w:rsidRPr="002D5E7C">
              <w:rPr>
                <w:rFonts w:ascii="Times New Roman" w:hAnsi="Times New Roman" w:cs="Times New Roman"/>
                <w:b/>
                <w:bCs/>
                <w:lang w:val="uk-UA"/>
              </w:rPr>
              <w:t>Блок моделі</w:t>
            </w:r>
          </w:p>
        </w:tc>
        <w:tc>
          <w:tcPr>
            <w:tcW w:w="2835" w:type="dxa"/>
            <w:vAlign w:val="center"/>
          </w:tcPr>
          <w:p w14:paraId="2BAB1FF6" w14:textId="77777777" w:rsidR="004D658F" w:rsidRPr="002D5E7C" w:rsidRDefault="004D658F" w:rsidP="0046298E">
            <w:pPr>
              <w:jc w:val="center"/>
              <w:rPr>
                <w:rFonts w:ascii="Times New Roman" w:hAnsi="Times New Roman" w:cs="Times New Roman"/>
                <w:sz w:val="28"/>
                <w:szCs w:val="28"/>
                <w:lang w:val="uk-UA"/>
              </w:rPr>
            </w:pPr>
            <w:r w:rsidRPr="002D5E7C">
              <w:rPr>
                <w:rFonts w:ascii="Times New Roman" w:hAnsi="Times New Roman" w:cs="Times New Roman"/>
                <w:b/>
                <w:bCs/>
                <w:lang w:val="uk-UA"/>
              </w:rPr>
              <w:t>Змістове наповнення</w:t>
            </w:r>
          </w:p>
        </w:tc>
        <w:tc>
          <w:tcPr>
            <w:tcW w:w="2748" w:type="dxa"/>
            <w:vAlign w:val="center"/>
          </w:tcPr>
          <w:p w14:paraId="5EF5EC58" w14:textId="77777777" w:rsidR="004D658F" w:rsidRPr="002D5E7C" w:rsidRDefault="004D658F" w:rsidP="0046298E">
            <w:pPr>
              <w:jc w:val="center"/>
              <w:rPr>
                <w:rFonts w:ascii="Times New Roman" w:hAnsi="Times New Roman" w:cs="Times New Roman"/>
                <w:sz w:val="28"/>
                <w:szCs w:val="28"/>
                <w:lang w:val="uk-UA"/>
              </w:rPr>
            </w:pPr>
            <w:r w:rsidRPr="002D5E7C">
              <w:rPr>
                <w:rFonts w:ascii="Times New Roman" w:hAnsi="Times New Roman" w:cs="Times New Roman"/>
                <w:b/>
                <w:bCs/>
                <w:lang w:val="uk-UA"/>
              </w:rPr>
              <w:t>Практична реалізація в освітньому процесі</w:t>
            </w:r>
          </w:p>
        </w:tc>
        <w:tc>
          <w:tcPr>
            <w:tcW w:w="2350" w:type="dxa"/>
            <w:vAlign w:val="center"/>
          </w:tcPr>
          <w:p w14:paraId="1B78CCDB" w14:textId="77777777" w:rsidR="004D658F" w:rsidRPr="002D5E7C" w:rsidRDefault="004D658F" w:rsidP="0046298E">
            <w:pPr>
              <w:jc w:val="center"/>
              <w:rPr>
                <w:rFonts w:ascii="Times New Roman" w:hAnsi="Times New Roman" w:cs="Times New Roman"/>
                <w:sz w:val="28"/>
                <w:szCs w:val="28"/>
                <w:lang w:val="uk-UA"/>
              </w:rPr>
            </w:pPr>
            <w:r w:rsidRPr="002D5E7C">
              <w:rPr>
                <w:rFonts w:ascii="Times New Roman" w:hAnsi="Times New Roman" w:cs="Times New Roman"/>
                <w:b/>
                <w:bCs/>
                <w:lang w:val="uk-UA"/>
              </w:rPr>
              <w:t>Очікуваний результат</w:t>
            </w:r>
          </w:p>
        </w:tc>
      </w:tr>
      <w:tr w:rsidR="004D658F" w:rsidRPr="002D5E7C" w14:paraId="658017FA" w14:textId="77777777" w:rsidTr="0046298E">
        <w:tc>
          <w:tcPr>
            <w:tcW w:w="1696" w:type="dxa"/>
            <w:vAlign w:val="center"/>
          </w:tcPr>
          <w:p w14:paraId="2FFD9120"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Цільовий</w:t>
            </w:r>
          </w:p>
        </w:tc>
        <w:tc>
          <w:tcPr>
            <w:tcW w:w="2835" w:type="dxa"/>
            <w:vAlign w:val="center"/>
          </w:tcPr>
          <w:p w14:paraId="2DB543B4"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Формування предметної географічної компетентності через дослідницьку діяльність</w:t>
            </w:r>
          </w:p>
        </w:tc>
        <w:tc>
          <w:tcPr>
            <w:tcW w:w="2748" w:type="dxa"/>
            <w:vAlign w:val="center"/>
          </w:tcPr>
          <w:p w14:paraId="1DF32A62"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Постановка проблемних запитань, орієнтація на пояснення географічних явищ</w:t>
            </w:r>
          </w:p>
        </w:tc>
        <w:tc>
          <w:tcPr>
            <w:tcW w:w="2350" w:type="dxa"/>
            <w:vAlign w:val="center"/>
          </w:tcPr>
          <w:p w14:paraId="14ADAADA"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Зростання навчальної мотивації та усвідомлення мети діяльності</w:t>
            </w:r>
          </w:p>
        </w:tc>
      </w:tr>
      <w:tr w:rsidR="004D658F" w:rsidRPr="002D5E7C" w14:paraId="6DD09CFB" w14:textId="77777777" w:rsidTr="0046298E">
        <w:tc>
          <w:tcPr>
            <w:tcW w:w="1696" w:type="dxa"/>
            <w:vAlign w:val="center"/>
          </w:tcPr>
          <w:p w14:paraId="7E24C728"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Змістовий</w:t>
            </w:r>
          </w:p>
        </w:tc>
        <w:tc>
          <w:tcPr>
            <w:tcW w:w="2835" w:type="dxa"/>
            <w:vAlign w:val="center"/>
          </w:tcPr>
          <w:p w14:paraId="63F9349A"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Картографічні, аналітичні, інформаційні, екологічні, просторові уміння</w:t>
            </w:r>
          </w:p>
        </w:tc>
        <w:tc>
          <w:tcPr>
            <w:tcW w:w="2748" w:type="dxa"/>
            <w:vAlign w:val="center"/>
          </w:tcPr>
          <w:p w14:paraId="6A63E783"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Добір тем із високим дослідницьким потенціалом у 5–9 класах</w:t>
            </w:r>
          </w:p>
        </w:tc>
        <w:tc>
          <w:tcPr>
            <w:tcW w:w="2350" w:type="dxa"/>
            <w:vAlign w:val="center"/>
          </w:tcPr>
          <w:p w14:paraId="15B57831"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Осмислене засвоєння географічного змісту</w:t>
            </w:r>
          </w:p>
        </w:tc>
      </w:tr>
      <w:tr w:rsidR="004D658F" w:rsidRPr="002D5E7C" w14:paraId="73FE57E3" w14:textId="77777777" w:rsidTr="0046298E">
        <w:tc>
          <w:tcPr>
            <w:tcW w:w="1696" w:type="dxa"/>
            <w:vAlign w:val="center"/>
          </w:tcPr>
          <w:p w14:paraId="77233753"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Процесуальний</w:t>
            </w:r>
          </w:p>
        </w:tc>
        <w:tc>
          <w:tcPr>
            <w:tcW w:w="2835" w:type="dxa"/>
            <w:vAlign w:val="center"/>
          </w:tcPr>
          <w:p w14:paraId="1D0E6BF5"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Етапи: мотивація, планування, дослідження, аналіз, презентація, рефлексія</w:t>
            </w:r>
          </w:p>
        </w:tc>
        <w:tc>
          <w:tcPr>
            <w:tcW w:w="2748" w:type="dxa"/>
            <w:vAlign w:val="center"/>
          </w:tcPr>
          <w:p w14:paraId="4D5052C5"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Урок-дослідження, практична робота, мініпроєкт, польове спостереження</w:t>
            </w:r>
          </w:p>
        </w:tc>
        <w:tc>
          <w:tcPr>
            <w:tcW w:w="2350" w:type="dxa"/>
            <w:vAlign w:val="center"/>
          </w:tcPr>
          <w:p w14:paraId="1D843552"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Перехід від репродуктивної до аналітичної діяльності</w:t>
            </w:r>
          </w:p>
        </w:tc>
      </w:tr>
      <w:tr w:rsidR="004D658F" w:rsidRPr="002D5E7C" w14:paraId="329155DA" w14:textId="77777777" w:rsidTr="0046298E">
        <w:tc>
          <w:tcPr>
            <w:tcW w:w="1696" w:type="dxa"/>
            <w:vAlign w:val="center"/>
          </w:tcPr>
          <w:p w14:paraId="7F7E9C24"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Діяльнісний</w:t>
            </w:r>
          </w:p>
        </w:tc>
        <w:tc>
          <w:tcPr>
            <w:tcW w:w="2835" w:type="dxa"/>
            <w:vAlign w:val="center"/>
          </w:tcPr>
          <w:p w14:paraId="37391ADF"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Спостереження, вимірювання, порівняння, робота з картами, статистикою, анкетами</w:t>
            </w:r>
          </w:p>
        </w:tc>
        <w:tc>
          <w:tcPr>
            <w:tcW w:w="2748" w:type="dxa"/>
            <w:vAlign w:val="center"/>
          </w:tcPr>
          <w:p w14:paraId="24C8B85A"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Виконання індивідуальних і групових дослідницьких завдань</w:t>
            </w:r>
          </w:p>
        </w:tc>
        <w:tc>
          <w:tcPr>
            <w:tcW w:w="2350" w:type="dxa"/>
            <w:vAlign w:val="center"/>
          </w:tcPr>
          <w:p w14:paraId="43551848"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Формування дослідницьких умінь і практичних способів дії</w:t>
            </w:r>
          </w:p>
        </w:tc>
      </w:tr>
      <w:tr w:rsidR="004D658F" w:rsidRPr="002D5E7C" w14:paraId="030DF5C1" w14:textId="77777777" w:rsidTr="0046298E">
        <w:tc>
          <w:tcPr>
            <w:tcW w:w="1696" w:type="dxa"/>
            <w:vAlign w:val="center"/>
          </w:tcPr>
          <w:p w14:paraId="0C9761EB"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Діагностично-результативний</w:t>
            </w:r>
          </w:p>
        </w:tc>
        <w:tc>
          <w:tcPr>
            <w:tcW w:w="2835" w:type="dxa"/>
            <w:vAlign w:val="center"/>
          </w:tcPr>
          <w:p w14:paraId="2694200E"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Критерії, показники, рівні, інструменти фіксації змін</w:t>
            </w:r>
          </w:p>
        </w:tc>
        <w:tc>
          <w:tcPr>
            <w:tcW w:w="2748" w:type="dxa"/>
            <w:vAlign w:val="center"/>
          </w:tcPr>
          <w:p w14:paraId="1B9E8EF5"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Спостереження, аналіз продуктів діяльності, самооцінювання, презентації</w:t>
            </w:r>
          </w:p>
        </w:tc>
        <w:tc>
          <w:tcPr>
            <w:tcW w:w="2350" w:type="dxa"/>
            <w:vAlign w:val="center"/>
          </w:tcPr>
          <w:p w14:paraId="2CDF06A0" w14:textId="77777777" w:rsidR="004D658F" w:rsidRPr="002D5E7C" w:rsidRDefault="004D658F" w:rsidP="0046298E">
            <w:pPr>
              <w:rPr>
                <w:rFonts w:ascii="Times New Roman" w:hAnsi="Times New Roman" w:cs="Times New Roman"/>
                <w:sz w:val="28"/>
                <w:szCs w:val="28"/>
                <w:lang w:val="uk-UA"/>
              </w:rPr>
            </w:pPr>
            <w:r w:rsidRPr="002D5E7C">
              <w:rPr>
                <w:rFonts w:ascii="Times New Roman" w:hAnsi="Times New Roman" w:cs="Times New Roman"/>
                <w:lang w:val="uk-UA"/>
              </w:rPr>
              <w:t>Виявлення динаміки сформованості географічних компетентностей</w:t>
            </w:r>
          </w:p>
        </w:tc>
      </w:tr>
    </w:tbl>
    <w:p w14:paraId="4999A77B" w14:textId="77777777" w:rsidR="004D658F" w:rsidRPr="002D5E7C" w:rsidRDefault="004D658F" w:rsidP="004D658F">
      <w:pPr>
        <w:spacing w:after="0" w:line="360" w:lineRule="auto"/>
        <w:rPr>
          <w:rFonts w:ascii="Times New Roman" w:hAnsi="Times New Roman" w:cs="Times New Roman"/>
          <w:sz w:val="28"/>
          <w:szCs w:val="28"/>
        </w:rPr>
      </w:pPr>
    </w:p>
    <w:p w14:paraId="26BB06A2"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lastRenderedPageBreak/>
        <w:t xml:space="preserve">Діагностично-результативний блок моделі було сконструйовано таким чином, щоб оцінювати не лише кінцевий продукт, а й сам процес становлення компетентності. У ході апробації застосовувалися педагогічне спостереження за ходом виконання завдань, аналіз письмових відповідей, картосхем, таблиць, діаграм, коротких мініпроєктів, усних презентацій, а також елементи самооцінювання, що дозволяли виявити, наскільки учні усвідомлюють спосіб власної роботи. Основними індикаторами стали здатність формулювати дослідницьке запитання, добирати релевантні джерела, виділяти показники для порівняння, інтерпретувати картографічну та статистичну інформацію, робити аргументований висновок і презентувати результати. Такий підхід відповідає науковим положенням про дослідницьку компетентність як поєднання виявлення проблеми, самоаналізу, оцінювання значущості набутих навичок, використання їх для прогнозування змін і участі в обговоренні результатів. </w:t>
      </w:r>
    </w:p>
    <w:p w14:paraId="6FFA4360"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Результати апробації дали підстави стверджувати, що використання моделі в реальному освітньому процесі забезпечує відчутну зміну способу навчальної участі учнів. У шостому класі помітним став перехід від фрагментарного опису природних явищ до спроб пояснення їх за допомогою кількох ознак і джерел, а також зростання готовності працювати з результатами власних спостережень. У дев’ятому класі виразніше виявилося вміння співвідносити статистичні показники з просторовими чинниками, аргументувати відмінності між територіями, вибудовувати причинно-наслідкові ланцюги між ресурсами, розселенням, спеціалізацією господарства і транспортним положенням. Особливо показовим було те, що в усних презентаціях учні частіше посилалися не на запам’ятоване формулювання з підручника, а на зіставлення даних, карти, власну схему або таблицю.</w:t>
      </w:r>
    </w:p>
    <w:p w14:paraId="6EF7A180"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Не менш важливим результатом стало зростання пізнавальної активності, що проявлялося у збільшенні кількості уточнювальних запитань, ініціативності під час обговорення джерел, прагненні перевірити попереднє припущення й готовності до корекції власного висновку після аналізу нових даних. Для географічної освіти це має особливе значення, оскільки формує не лише </w:t>
      </w:r>
      <w:r w:rsidRPr="002D5E7C">
        <w:rPr>
          <w:rFonts w:ascii="Times New Roman" w:hAnsi="Times New Roman" w:cs="Times New Roman"/>
          <w:sz w:val="28"/>
          <w:szCs w:val="28"/>
          <w:lang w:val="uk-UA"/>
        </w:rPr>
        <w:lastRenderedPageBreak/>
        <w:t xml:space="preserve">академічну успішність у межах предмета, а й більш широкий спосіб мислення, орієнтований на доказовість, багатофакторність і просторову обумовленість явищ. Саме тому практичне значення моделі полягає в тому, що вона може бути застосована як універсальний методичний каркас для побудови уроків-досліджень, практичних робіт, мініпроєктів, локальних польових студій і завдань на аналіз картографічної та статистичної інформації в курсі географії базової школи. </w:t>
      </w:r>
    </w:p>
    <w:p w14:paraId="2CFB8D6F" w14:textId="77777777" w:rsidR="004D658F"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Отже, модель формування географічних компетентностей учнів засобами дослідницької діяльності доцільно розглядати як цілісну, внутрішньо узгоджену й методично продуктивну систему, що поєднує нормативні орієнтири сучасної української школи, наукові напрацювання у сфері географічної дидактики та результати реальної педагогічної апробації. Її ефективність полягає в тому, що вона переводить навчання географії з площини переважно інформативного засвоєння в площину діяльнісного пізнання простору, де знання постають не самоціллю, а інструментом аналізу, пояснення й відповідального ставлення до довкілля та суспільства. Саме за такої організації освітнього процесу географічна компетентність набуває реального, а не декларативного змісту, оскільки формується в дії, перевіряється в дослідженні та проявляється у здатності учня мислити географічно.</w:t>
      </w:r>
    </w:p>
    <w:p w14:paraId="496D9E63" w14:textId="77777777" w:rsidR="004D658F" w:rsidRDefault="004D658F" w:rsidP="004D658F">
      <w:pPr>
        <w:spacing w:after="0" w:line="360" w:lineRule="auto"/>
        <w:jc w:val="both"/>
        <w:rPr>
          <w:rFonts w:ascii="Times New Roman" w:hAnsi="Times New Roman" w:cs="Times New Roman"/>
          <w:sz w:val="28"/>
          <w:szCs w:val="28"/>
          <w:lang w:val="uk-UA"/>
        </w:rPr>
      </w:pPr>
    </w:p>
    <w:p w14:paraId="0D620540" w14:textId="77777777" w:rsidR="004D658F" w:rsidRDefault="004D658F" w:rsidP="004D658F">
      <w:pPr>
        <w:spacing w:after="0" w:line="360" w:lineRule="auto"/>
        <w:jc w:val="both"/>
        <w:rPr>
          <w:rFonts w:ascii="Times New Roman" w:hAnsi="Times New Roman" w:cs="Times New Roman"/>
          <w:sz w:val="28"/>
          <w:szCs w:val="28"/>
          <w:lang w:val="uk-UA"/>
        </w:rPr>
      </w:pPr>
    </w:p>
    <w:p w14:paraId="04700E18" w14:textId="77777777" w:rsidR="004D658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3.2. Методичний інструментацій реалізації дослідницького підходу у курсі географії 5-9 класів</w:t>
      </w:r>
    </w:p>
    <w:p w14:paraId="59D957C7" w14:textId="77777777" w:rsidR="004D658F" w:rsidRDefault="004D658F" w:rsidP="004D658F">
      <w:pPr>
        <w:spacing w:after="0" w:line="360" w:lineRule="auto"/>
        <w:rPr>
          <w:rFonts w:ascii="Times New Roman" w:hAnsi="Times New Roman" w:cs="Times New Roman"/>
          <w:b/>
          <w:bCs/>
          <w:sz w:val="28"/>
          <w:szCs w:val="28"/>
          <w:lang w:val="uk-UA"/>
        </w:rPr>
      </w:pPr>
    </w:p>
    <w:p w14:paraId="02095BD1"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Методичний інструментарій реалізації дослідницького підходу у курсі географії п’ятого-дев’ятого класів доцільно розглядати як спеціально спроєктовану систему змістових, організаційних, операційних та діагностичних засобів, що забезпечують переведення навчання географії з переважно репродуктивного формату в діяльнісно-аналітичний. Йдеться не лише про добір окремих завдань або вправ, а про побудову такої сукупності методичних рішень, </w:t>
      </w:r>
      <w:r w:rsidRPr="002D5E7C">
        <w:rPr>
          <w:rFonts w:ascii="Times New Roman" w:hAnsi="Times New Roman" w:cs="Times New Roman"/>
          <w:sz w:val="28"/>
          <w:szCs w:val="28"/>
          <w:lang w:val="uk-UA"/>
        </w:rPr>
        <w:lastRenderedPageBreak/>
        <w:t xml:space="preserve">у якій кожен елемент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від формулювання проблемного запитання до способу фіксації результатів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підпорядкований формуванню предметної географічної компетентності, дослідницьких умінь, просторового мислення та здатності застосовувати знання до пояснення реальних природних і суспільно-географічних явищ. Саме такий підхід відповідає сучасним вимогам Державного стандарту базової середньої освіти, який орієнтує навчання на досягнення обов’язкових результатів, а не на просте відтворення навчальної інформації. </w:t>
      </w:r>
    </w:p>
    <w:p w14:paraId="3C141154"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У структурі цього підрозділу методичний інструментарій тлумачиться як практична складова розробленої моделі формування географічних компетентностей. Якщо в попередньому підрозділі було обґрунтовано концептуальні засади, логіку та структурні блоки моделі, то в межах підрозділу 3.2 акцент переноситься на конкретні засоби її реалізації: принципи добору інструментарію, його диференціацію за віковими групами, форми роботи, систему методів, комплект матеріалів для учнів та вчителя, а також авторські методичні розробки, що були апробовані у практиці викладання географії. Така побудова відповідає сучасним підходам до </w:t>
      </w:r>
      <w:r w:rsidRPr="007545BB">
        <w:rPr>
          <w:rFonts w:ascii="Times New Roman" w:hAnsi="Times New Roman" w:cs="Times New Roman"/>
          <w:i/>
          <w:iCs/>
          <w:sz w:val="28"/>
          <w:szCs w:val="28"/>
          <w:lang w:val="uk-UA"/>
        </w:rPr>
        <w:t>geography inquiry</w:t>
      </w:r>
      <w:r w:rsidRPr="002D5E7C">
        <w:rPr>
          <w:rFonts w:ascii="Times New Roman" w:hAnsi="Times New Roman" w:cs="Times New Roman"/>
          <w:sz w:val="28"/>
          <w:szCs w:val="28"/>
          <w:lang w:val="uk-UA"/>
        </w:rPr>
        <w:t xml:space="preserve">, у межах яких ефективність дослідницького навчання залежить не від абстрактного проголошення його цінності, а від ретельно спроєктованих педагогічних процедур і доступних для школяра інструментів діяльності. </w:t>
      </w:r>
    </w:p>
    <w:p w14:paraId="68E9AA64"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Визначення принципів добору методичного інструментарію є методично принциповим, оскільки саме від них залежить, чи буде дослідницький підхід органічно інтегрований у шкільний курс географії, чи перетвориться на епізодичний набір нетипових завдань. У ході розроблення практичного проєкту було встановлено, що інструментарій має відповідати щонайменше п’яти взаємопов’язаним принципам: вікововідповідності, практикоорієнтованості, доступності, системності та компетентнісної спрямованості. Таке поєднання не є довільним. Воно випливає як із логіки базової середньої освіти, так і з сучасних досліджень географічної дидактики, у яких наголошується, що навчальні матеріали з географії повинні поєднувати предметний зміст, діяльнісний </w:t>
      </w:r>
      <w:r w:rsidRPr="002D5E7C">
        <w:rPr>
          <w:rFonts w:ascii="Times New Roman" w:hAnsi="Times New Roman" w:cs="Times New Roman"/>
          <w:sz w:val="28"/>
          <w:szCs w:val="28"/>
          <w:lang w:val="uk-UA"/>
        </w:rPr>
        <w:lastRenderedPageBreak/>
        <w:t xml:space="preserve">компонент, можливість поступового ускладнення та зв’язок з реальними просторовими ситуаціями. </w:t>
      </w:r>
    </w:p>
    <w:p w14:paraId="673ABE3B"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Принцип вікововідповідності означає, що дослідницькі завдання в курсі географії мають бути узгоджені з пізнавальними можливостями учнів конкретного віку, рівнем сформованості їхніх інтелектуальних операцій, здатністю до абстрагування, умінням працювати з джерелами та ступенем самостійності у виконанні навчальної роботи. Для п’ятого-шостого класів це передбачає переважання безпосередньо спостережуваних об’єктів, конкретних інструкцій, чіткої послідовності дій, опори на наочність і локальний досвід. Для сьомого-дев’ятого класів, навпаки, інструментарій повинен включати складніші аналітичні операції: порівняння територій, інтерпретацію статистики, пояснення закономірностей, самостійний добір показників і підготовку коротких дослідницьких висновків. Відповідність віковим особливостям особливо важлива в географії, де навчальна діяльність поєднує конкретне сприйняття простору з поступовим переходом до теоретичного осмислення територіальних систем.</w:t>
      </w:r>
    </w:p>
    <w:p w14:paraId="53A0B998"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Принцип практикоорієнтованості вимагає, щоб дослідницькі завдання були безпосередньо пов’язані з реальними географічними об’єктами, явищами або процесами, які учень може спостерігати, вимірювати, аналізувати або інтерпретувати. У практичному проєкті це означало свідоме уникнення суто формальних вправ на відтворення інформації. Натомість добиралися такі форми роботи, у яких учень мав справу з метеоспостереженнями, планом шкільної території, картою свого регіону, статистичними даними про населення, ресурсну забезпеченість або господарську спеціалізацію, матеріалами навчальної екскурсії чи результатами локального опитування. Географія як шкільний предмет особливо сприятлива до практикоорієнтованого навчання, оскільки її зміст безпосередньо пов’язаний із простором повсякденного життя, довкіллям і суспільством.</w:t>
      </w:r>
    </w:p>
    <w:p w14:paraId="57FCE617"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Принцип доступності у контексті дослідницького підходу не означає спрощення змісту до примітивного рівня, а передбачає методичну досяжність </w:t>
      </w:r>
      <w:r w:rsidRPr="002D5E7C">
        <w:rPr>
          <w:rFonts w:ascii="Times New Roman" w:hAnsi="Times New Roman" w:cs="Times New Roman"/>
          <w:sz w:val="28"/>
          <w:szCs w:val="28"/>
          <w:lang w:val="uk-UA"/>
        </w:rPr>
        <w:lastRenderedPageBreak/>
        <w:t xml:space="preserve">завдання для учня за наявності відповідної педагогічної підтримки. Саме тому під час розроблення інструментарію особлива увага приділялася структурі інструкцій, способу подання даних, обсягу інформації, доступності джерел, поетапності завдань і зрозумілості критеріїв оцінювання. Було встановлено, що дослідницьке завдання стає результативним лише тоді, коли учень розуміє не тільки кінцеву мету, а й логіку проміжних дій: що саме треба спостерігати, які ознаки порівнювати, як оформити таблицю, які слова і поняття використати для пояснення висновку. Доступність у такий спосіб набуває характеру дидактично організованої підтримки, а не зниження інтелектуальної якості навчання. </w:t>
      </w:r>
    </w:p>
    <w:p w14:paraId="1C13F373"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Принцип системності означає, що методичний інструментарій має охоплювати не один окремий урок, а послідовність педагогічних рішень, що повторюються в різних класах і темах, поступово ускладнюючись. Саме тому в розробленому практичному проєкті дослідницькі дії були впорядковані за логікою поступового розвитку: від спостереження та елементарного опису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до зіставлення, аналізу, інтерпретації, аргументування й презентації результатів. Така системність дозволила уникнути ситуації, коли дослідницький підхід виступає одноразовою «нестандартною формою уроку» і не перетворюється на реальний механізм формування компетентностей. У ході апробації було важливо не просто провести окремий урок-дослідження, а створити серію взаємопов’язаних дослідницьких ситуацій, у яких учні звикали працювати з даними, картами, питаннями і висновками як з нормальною, звичною для предмета формою діяльності. </w:t>
      </w:r>
    </w:p>
    <w:p w14:paraId="446F3641"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Принцип компетентнісної спрямованості полягає в тому, що кожен елемент інструментарію має бути співвіднесений із конкретними результатами навчання: умінням орієнтуватися в просторі, працювати з картографічною інформацією, спостерігати природні об’єкти та процеси, аналізувати статистику, встановлювати причинно-наслідкові зв’язки, оцінювати взаємодію природи і суспільства, висловлювати аргументовані судження щодо територіальних проблем. Такий підхід узгоджується з предметною географічною компетентністю, що у вітчизняній педагогічній науці тлумачиться як здатність </w:t>
      </w:r>
      <w:r w:rsidRPr="002D5E7C">
        <w:rPr>
          <w:rFonts w:ascii="Times New Roman" w:hAnsi="Times New Roman" w:cs="Times New Roman"/>
          <w:sz w:val="28"/>
          <w:szCs w:val="28"/>
          <w:lang w:val="uk-UA"/>
        </w:rPr>
        <w:lastRenderedPageBreak/>
        <w:t xml:space="preserve">застосовувати знання, уміння, досвід і ціннісні орієнтації для розуміння навколишнього світу та розв’язання географічно значущих завдань. </w:t>
      </w:r>
    </w:p>
    <w:p w14:paraId="79812D48"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Практичне проєктування інструментарію було здійснено відповідно до вікової логіки курсу географії 5</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9 класів. Для п’ятого класу до системи було включено прості дослідницькі завдання, спрямовані на формування первинних способів орієнтації у просторі та спостереження за довкіллям. Учні виконували короткотривалі й довготривалі спостереження за погодою, визначали сторони горизонту за допомогою орієнтирів місцевості та компаса, працювали з планом шкільного подвір’я або класної кімнати, позначали прості об’єкти на схематичному плані, вели щоденник спостережень із фіксацією температури, хмарності, опадів і коротких висновків про зміни погоди. Ці завдання не лише вводили школярів у дослідницьку логіку, а й формували звичку до систематичного фіксування результатів, що є базовою умовою подальшого розвитку дослідницьких умінь. </w:t>
      </w:r>
    </w:p>
    <w:p w14:paraId="6BB322E8"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У шостому класі інструментарій був ускладнений за рахунок включення завдань на дослідження форм рельєфу, спостереження за водними об’єктами, аналіз природних компонентів місцевості та побудову простих порівняльних таблиць. На цьому етапі учні вже не лише описували спостережуване, а й співвідносили окремі ознаки між собою: порівнювали форми поверхні, характер зволоження, особливості рослинного покриву, можливий вплив рельєфу на стік або розміщення господарських об’єктів. Саме у шостому класі було апробовано практичні роботи з поєднанням спостереження, картографічного аналізу та елементарного пояснення природних взаємозв’язків. Такий формат виявився методично продуктивним, оскільки дозволив учням побачити, що географічне знання не існує у вигляді ізольованих фактів, а виникає через аналіз взаємодії компонентів природи.</w:t>
      </w:r>
    </w:p>
    <w:p w14:paraId="524F12F2"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Для сьомого класу система інструментарію була зорієнтована на опрацювання глобальнішого змісту, пов’язаного з материками, океанами, кліматичними поясами, природними зонами та регіональними контрастами. У практичному проєкті для цього рівня були передбачені завдання на порівняльне </w:t>
      </w:r>
      <w:r w:rsidRPr="002D5E7C">
        <w:rPr>
          <w:rFonts w:ascii="Times New Roman" w:hAnsi="Times New Roman" w:cs="Times New Roman"/>
          <w:sz w:val="28"/>
          <w:szCs w:val="28"/>
          <w:lang w:val="uk-UA"/>
        </w:rPr>
        <w:lastRenderedPageBreak/>
        <w:t xml:space="preserve">дослідження материків, аналіз кліматограм, зіставлення природних зон за набором показників, створення узагальнювальних картосхем і мініпроєкти про природу окремих регіонів світу. Такі завдання переводили учня від безпосереднього спостереження до опосередкованого дослідження, де головним джерелом виступають карта, кліматична діаграма, текст, статистична таблиця й зображення. Саме на цьому етапі суттєво зростає роль аналітичних операцій, а тому методичний інструментарій має забезпечувати підтримку в інтерпретації складніших знакових систем. </w:t>
      </w:r>
    </w:p>
    <w:p w14:paraId="3E96A0B6"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У восьмому класі, де центральне місце посідає географія України, інструментарій дослідницького навчання набуває особливо виразного прикладного характеру. До нього було включено завдання на дослідження природних умов України, аналіз карт природних ресурсів, практичні роботи з тематичними картами, зіставлення природних зон і регіонів, а також навчальні екскурсії або їх моделювання у випадках обмежених організаційних можливостей. Під час апробації особливо результативними виявилися завдання, у яких учні співвідносили фізико-географічні умови з видами господарського використання території, простежували зв’язок між рельєфом, кліматом, ґрунтами та сільськогосподарською спеціалізацією, аналізували ризики природокористування та екологічні наслідки господарської діяльності. У восьмому класі географічна дослідницька діяльність уже прямо працює на формування громадянської й екологічної відповідальності. </w:t>
      </w:r>
    </w:p>
    <w:p w14:paraId="33A034F1"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Для дев’ятого класу інструментарій був зорієнтований на роботу з населенням, господарством, статистичними матеріалами, регіональними відмінностями та елементами економічної і соціальної географії. Саме на цьому рівні особливого значення набувають мінідослідження, пов’язані з аналізом демографічних показників, урбанізацією, трудовими ресурсами, структурою господарства, особливостями регіонального розвитку, транспортною мережею та просторовою організацією виробництва. Під час практичної реалізації моделі в дев’ятому класі учні працювали зі статистичними таблицями, будували діаграми, співвідносили цифрові показники з картографічними матеріалами, </w:t>
      </w:r>
      <w:r w:rsidRPr="002D5E7C">
        <w:rPr>
          <w:rFonts w:ascii="Times New Roman" w:hAnsi="Times New Roman" w:cs="Times New Roman"/>
          <w:sz w:val="28"/>
          <w:szCs w:val="28"/>
          <w:lang w:val="uk-UA"/>
        </w:rPr>
        <w:lastRenderedPageBreak/>
        <w:t xml:space="preserve">формулювали короткі аналітичні висновки щодо причин міжрегіональних відмінностей. Такий інструментарій значно активізує аналітичну складову географічної компетентності й наближає навчання до реальних дослідницьких практик суспільної географії. </w:t>
      </w:r>
    </w:p>
    <w:p w14:paraId="241BDEB0"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Форми реалізації дослідницького підходу в межах розробленого інструментарію також були диференційовані відповідно до віку учнів, змісту теми та очікуваного результату. Першою і базовою формою виступив урок-дослідження, у межах якого навчальний матеріал вводився не через повідомлення готових відомостей, а через постановку проблемного запитання, опрацювання джерел, виконання аналітичних дій і формулювання висновків. Такий урок виявився особливо продуктивним у темах, де можна організувати порівняння, виявлення закономірностей, інтерпретацію карт або статистики. Його перевага полягає в тому, що дослідницька діяльність вбудовується в основну структуру уроку й не сприймається як другорядне доповнення. </w:t>
      </w:r>
    </w:p>
    <w:p w14:paraId="5C3AD74F"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Практична робота як форма реалізації дослідницького підходу використовувалася у випадках, коли навчальна мета полягала у формуванні конкретної предметної дії: визначення напрямків, читання карти, побудови порівняльної таблиці, аналізу кліматограми, опису природного комплексу, роботи зі статистичними матеріалами. У межах практичного проєкту саме практична робота стала найбільш стабільною формою переходу від репродуктивного навчання до дослідницького, оскільки дозволяла поєднати чітку організацію діяльності з елементами самостійного аналізу. Методично значущим виявилося те, що навіть у межах короткої практичної роботи учні могли виконувати повний мікроцикл дослідження: отримати завдання, зафіксувати дані, порівняти показники, сформулювати висновок і відповісти на рефлексивне запитання щодо надійності результату. </w:t>
      </w:r>
    </w:p>
    <w:p w14:paraId="5862D594"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Мініпроєкт застосовувався тоді, коли дослідницьке завдання вимагало тривалішого часу, інтеграції кількох джерел і завершувалося створенням окремого освітнього продукту: картосхеми, постера, порівняльної характеристики регіонів, презентації, мініаналітики або тематичного звіту. У </w:t>
      </w:r>
      <w:r w:rsidRPr="002D5E7C">
        <w:rPr>
          <w:rFonts w:ascii="Times New Roman" w:hAnsi="Times New Roman" w:cs="Times New Roman"/>
          <w:sz w:val="28"/>
          <w:szCs w:val="28"/>
          <w:lang w:val="uk-UA"/>
        </w:rPr>
        <w:lastRenderedPageBreak/>
        <w:t>ході апробації мініпроєкти найкраще працювали у сьомому та дев’ятому класах, де учні вже мали достатній рівень сформованості базових умінь для пошуку, добору та структурування інформації. Методична цінність мініпроєкту полягала в тому, що він дозволяв поєднати предметний зміст географії з комунікативною, цифровою та рефлексивною складовими навчальної діяльності.</w:t>
      </w:r>
    </w:p>
    <w:p w14:paraId="62A86D79"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Навчальна екскурсія або її локальний польовий аналог стали важливою формою реалізації дослідницького підходу насамперед у п’ятому, шостому й восьмому класах. У межах практичного проєкту польові елементи включали маршрутні спостереження, фіксацію особливостей рельєфу, водних об’єктів, рослинного покриву, ознак антропогенного навантаження, а також складання коротких польових записів і подальше узагальнення результатів у класі. Навіть за обмежених умов така форма виявилася методично особливо цінною, оскільки забезпечувала контакт учня з реальним географічним середовищем, а отже, посилювала смислову й емоційну насиченість дослідницької діяльності. </w:t>
      </w:r>
    </w:p>
    <w:p w14:paraId="727CAB92"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Групова дослідницька робота використовувалася як форма, що підсилює взаємодію, розподіл функцій і колективну інтерпретацію даних. У межах практичного проєкту вона була особливо ефективною під час опрацювання статистики, порівняння регіонів, роботи з набором карт або підготовки мініпроєктів, коли різні учасники групи виконували окремі частини загального завдання. Ця форма дозволяє моделювати реальну дослідницьку діяльність, у якій результат часто є наслідком колективної інтелектуальної роботи. Водночас вона потребує чітких критеріїв, зрозумілих ролей і продуманої рефлексії, щоб уникнути нерівномірного розподілу активності між учнями.</w:t>
      </w:r>
    </w:p>
    <w:p w14:paraId="33CF0078"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Індивідуальне навчальне дослідження застосовувалося переважно як форма поглиблення, закріплення або підсумкового виявлення дослідницьких умінь учня. Воно передбачало виконання завдання з більшою мірою самостійності, коли учень сам вибудовував логіку аналізу, добирав матеріал, робив проміжні записи й формулював власний висновок. У практичній апробації така форма була особливо доречною для дев’ятого класу під час виконання аналітичних завдань з населення та господарства, а також для окремих </w:t>
      </w:r>
      <w:r w:rsidRPr="002D5E7C">
        <w:rPr>
          <w:rFonts w:ascii="Times New Roman" w:hAnsi="Times New Roman" w:cs="Times New Roman"/>
          <w:sz w:val="28"/>
          <w:szCs w:val="28"/>
          <w:lang w:val="uk-UA"/>
        </w:rPr>
        <w:lastRenderedPageBreak/>
        <w:t>мотивованих учнів сьомого-восьмого класів під час мініпроєктів. Саме індивідуальне дослідження найкраще виявляє реальний рівень сформованості географічної компетентності, оскільки зменшує вплив зовнішньої підказки та виявляє, наскільки учень здатний мислити географічно самостійно.</w:t>
      </w:r>
    </w:p>
    <w:p w14:paraId="2751BBF6"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Система методів, що лежить в основі розробленого інструментарію, була вибудувана з урахуванням предметної специфіки географії. Першим із них виступив проблемний виклад, який використовувався як спосіб введення учнів у дослідницьку ситуацію. Учитель не повідомляв завершену відповідь, а пропонував суперечність, запитання або складну просторову ситуацію, пояснення якої вимагало подальшого аналізу. Проблемний виклад виявився особливо продуктивним на етапі мотивації уроку, коли необхідно було перевести увагу учнів від простого сприйняття теми до активного інтелектуального пошуку.</w:t>
      </w:r>
    </w:p>
    <w:p w14:paraId="05A480F9"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Частково-пошуковий метод було покладено в основу більшості завдань для п’ятого-сьомого класів, а також для тих тем восьмого-дев’ятого класів, де учням ще потрібна опора у вигляді плану дій, набору запитань або структурованої таблиці. Його суть полягає в тому, що учень не отримує готового висновку, але й не залишається без інструментальної підтримки. Саме цей метод в умовах шкільної географії є особливо продуктивним, оскільки дозволяє поєднати керованість освітнього процесу з формуванням самостійності. Під час апробації було встановлено, що для більшості учнів базової школи саме частково-пошуковий рівень організації є оптимальним стартом у дослідницькому навчанні.</w:t>
      </w:r>
    </w:p>
    <w:p w14:paraId="12F47134"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Дослідницький метод застосовувався тоді, коли учні могли виконувати більш повний цикл пізнавальних дій: самостійно формулювати дослідницьке запитання, добирати ознаки для аналізу, працювати з кількома джерелами й аргументувати висновок. У межах практичного проєкту він виявився найбільш доречним у сьомому-дев’ятому класах. Його використання показало, що географія має значний потенціал для формування не лише предметних знань, а й </w:t>
      </w:r>
      <w:r w:rsidRPr="002D5E7C">
        <w:rPr>
          <w:rFonts w:ascii="Times New Roman" w:hAnsi="Times New Roman" w:cs="Times New Roman"/>
          <w:sz w:val="28"/>
          <w:szCs w:val="28"/>
          <w:lang w:val="uk-UA"/>
        </w:rPr>
        <w:lastRenderedPageBreak/>
        <w:t>наукового стилю мислення, коли учень діє не за алгоритмом відтворення, а за логікою аналізу, перевірки й пояснення.</w:t>
      </w:r>
    </w:p>
    <w:p w14:paraId="46A799D4"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Проєктний метод став важливою опорою в тих випадках, коли дослідницька діяльність вимагала тривалішого часу, інтеграції природничих, соціальних і картографічних даних, а також створення завершеного продукту. Він застосовувався для мініпроєктів про природні зони, регіони світу, особливості природокористування, територіальні відмінності населення та господарства. Проєктний метод виявився особливо цінним з погляду розвитку відповідальності за результат, структурування інформації та публічної презентації власної роботи.</w:t>
      </w:r>
    </w:p>
    <w:p w14:paraId="26C52DDD"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Спостереження, аналіз картографічних джерел, робота зі статистикою, моделювання та порівняння були використані як конкретні операційні методи географічного дослідження. Спостереження забезпечувало безпосередній контакт із природним або соціальним середовищем; аналіз картографічних джерел формував уміння читати просторову інформацію; робота зі статистикою розвивала аналітичну грамотність; моделювання допомагало узагальнювати взаємозв’язки; порівняння дозволяло виявляти територіальні закономірності. Сукупність саме цих методів була обрана не випадково: вони відображають ядро географічної наукової практики й тому є найадекватнішими для формування предметної компетентності у школі.</w:t>
      </w:r>
    </w:p>
    <w:p w14:paraId="757D3493"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У межах практичного проєкту було розроблено конкретний комплект матеріалів, який забезпечував реальне впровадження дослідницького підходу на уроці. До цього комплекту увійшли система дослідницьких завдань за класами і темами, картки для учнів із чітко структурованими інструкціями, зразки таблиць спостережень, шаблони мініпроєктів, бланки для фіксації даних, критерії оцінювання, приклади рефлексивних запитань, а також методичні примітки для вчителя щодо організації роботи. Така матеріальна конкретизація є принципово важливою, оскільки саме вона переводить абстрактну ідею дослідницького навчання в площину повсякденної педагогічної практики.</w:t>
      </w:r>
    </w:p>
    <w:p w14:paraId="5F56DB92"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lastRenderedPageBreak/>
        <w:t xml:space="preserve">Система дослідницьких завдань була побудована за принципом поступового ускладнення. Для п’ятого класу завдання мали переважно спостережувально-описовий характер із елементами найпростішого висновку. Для шостого класу вони вже містили порівняння та встановлення взаємозв’язків між природними компонентами. Для сьомого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вимагали інтерпретації карт і кліматограм. Для восьмого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поєднували картографічний, природничий та екологічний аналіз. Для дев’ятого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виходили на рівень статистичного та суспільно-географічного узагальнення. Саме така лінія ускладнення забезпечує системність формування дослідницьких умінь і запобігає штучному «стрибку» від простих вправ до складних аналітичних завдань без належної підготовки.</w:t>
      </w:r>
    </w:p>
    <w:p w14:paraId="223246BC"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Картки для учнів були розроблені як ключовий елемент підтримки. Кожна картка містила тему, мету завдання, перелік джерел або матеріалів, послідовність дій, місце для фіксації проміжних результатів, запитання для висновку та короткий блок самооцінювання. Під час апробації саме картки виявилися одним із найефективніших засобів організації дослідницької діяльності, оскільки знижували тривожність учнів перед незвичною формою роботи, структурували їхні дії та допомагали зберегти логіку дослідження. Особливо важливими вони були у шостому класі, де надмірна відкритість завдання могла ускладнювати роботу учнів.</w:t>
      </w:r>
    </w:p>
    <w:p w14:paraId="7DD053D7"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Зразки таблиць спостережень виконували подвійну функцію: з одного боку, вони були інструментом фіксації даних, а з другого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засобом привчання учнів до впорядкованого наукового запису. У межах практичного проєкту таблиці застосовувалися для ведення погодних щоденників, порівняння природних зон, фіксації ознак водного об’єкта, аналізу рельєфу, співставлення статистичних показників населення і господарства. Було помітно, що саме таблиця як форма запису сприяє переходу від хаотичного сприйняття матеріалу до структурованого бачення ознак і взаємозв’язків, а отже, є не просто технічним додатком, а важливим когнітивним інструментом дослідження.</w:t>
      </w:r>
    </w:p>
    <w:p w14:paraId="3C2D4C20"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Шаблони мініпроєктів були створені для сьомого-дев’ятого класів і включали тему, проблему, орієнтовні джерела, рекомендації щодо побудови </w:t>
      </w:r>
      <w:r w:rsidRPr="002D5E7C">
        <w:rPr>
          <w:rFonts w:ascii="Times New Roman" w:hAnsi="Times New Roman" w:cs="Times New Roman"/>
          <w:sz w:val="28"/>
          <w:szCs w:val="28"/>
          <w:lang w:val="uk-UA"/>
        </w:rPr>
        <w:lastRenderedPageBreak/>
        <w:t>структури дослідження, місце для формулювання висновків і критерії оцінювання. Використання шаблонів не обмежувало творчість учнів, а, навпаки, забезпечувало рамку, всередині якої вони могли діяти впевненіше. У практичній апробації це дозволило зменшити кількість випадків, коли учні губилися в масиві інформації або підміняли дослідницьку роботу простим переписуванням тексту з джерел.</w:t>
      </w:r>
    </w:p>
    <w:p w14:paraId="30CE4C8E"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Критерії оцінювання та рефлексивні запитання було включено до комплекту матеріалів як обов’язковий компонент. Вони допомагали зосередити увагу не тільки на правильності відповіді, а й на способі її отримання. У практичному проєкті використовувалися такі рефлексивні запитання: які джерела виявилися найкориснішими; які дані були найважче інтерпретувати; чи достатньо підстав для зробленого висновку; які чинники могли вплинути на точність спостереження; що б учень змінив у своєму дослідженні наступного разу. Саме такі запитання формують у школярів розуміння дослідження як процесу обґрунтованого мислення, а не набору механічних дій.</w:t>
      </w:r>
    </w:p>
    <w:p w14:paraId="755BB0C2"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У межах практичного проєкту було створено п’ять авторських методичних розробок, які виконували функцію пілотних зразків застосування інструментарію. Першою стала розробка уроку-дослідження для п’ятого класу на тему орієнтування на місцевості, де учні визначали сторони горизонту, співвідносили реальні орієнтири з планом та робили висновок про значення просторових умінь у повсякденному житті. Другою була практична робота для шостого класу, присвячена аналізу природних компонентів локальної території, у межах якої школярі спостерігали рельєф, зволоження та рослинність, а потім оформлювали результати у порівняльній таблиці.</w:t>
      </w:r>
    </w:p>
    <w:p w14:paraId="59990620" w14:textId="77777777" w:rsidR="004D658F"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 xml:space="preserve">Третьою авторською розробкою став мініпроєкт для сьомого класу, присвячений порівнянню природних зон двох материків. Учні аналізували карту природних зон, кліматичні особливості, характерні типи рослинності та тваринного світу, а потім презентували висновок про залежність природної зональності від широтного положення, кліматичних чинників і рельєфу. Четвертою розробкою було дослідницьке завдання для восьмого класу, </w:t>
      </w:r>
      <w:r w:rsidRPr="002D5E7C">
        <w:rPr>
          <w:rFonts w:ascii="Times New Roman" w:hAnsi="Times New Roman" w:cs="Times New Roman"/>
          <w:sz w:val="28"/>
          <w:szCs w:val="28"/>
          <w:lang w:val="uk-UA"/>
        </w:rPr>
        <w:lastRenderedPageBreak/>
        <w:t xml:space="preserve">зорієнтоване на аналіз природних ресурсів України за тематичними картами й формулювання висновків про можливості та ризики господарського використання території. П’ятою </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 аналітичне завдання для дев’ятого класу, у межах якого учні досліджували регіональні відмінності населення та господарства за статистичними матеріалами й картографічними джерелами.</w:t>
      </w:r>
    </w:p>
    <w:p w14:paraId="5E8CD902" w14:textId="77777777" w:rsidR="004D658F" w:rsidRDefault="004D658F" w:rsidP="004D658F">
      <w:pPr>
        <w:spacing w:after="0" w:line="360" w:lineRule="auto"/>
        <w:jc w:val="both"/>
        <w:rPr>
          <w:rFonts w:ascii="Times New Roman" w:hAnsi="Times New Roman" w:cs="Times New Roman"/>
          <w:sz w:val="28"/>
          <w:szCs w:val="28"/>
          <w:lang w:val="uk-UA"/>
        </w:rPr>
      </w:pPr>
    </w:p>
    <w:p w14:paraId="5C6E0455" w14:textId="77777777" w:rsidR="004D658F" w:rsidRDefault="004D658F" w:rsidP="004D658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111FBF34" wp14:editId="09F6EAA9">
            <wp:extent cx="5941722" cy="331631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8379" cy="3320025"/>
                    </a:xfrm>
                    <a:prstGeom prst="rect">
                      <a:avLst/>
                    </a:prstGeom>
                    <a:noFill/>
                  </pic:spPr>
                </pic:pic>
              </a:graphicData>
            </a:graphic>
          </wp:inline>
        </w:drawing>
      </w:r>
    </w:p>
    <w:p w14:paraId="03A90C38" w14:textId="77777777" w:rsidR="004D658F" w:rsidRDefault="004D658F" w:rsidP="004D658F">
      <w:pPr>
        <w:spacing w:after="0" w:line="36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 xml:space="preserve">Рис. 3.1. Система методичного інструментарію реалізації дослідницького підходу у курсі географії 6-9 класів </w:t>
      </w:r>
      <w:r w:rsidRPr="007545BB">
        <w:rPr>
          <w:rFonts w:ascii="Times New Roman" w:hAnsi="Times New Roman" w:cs="Times New Roman"/>
          <w:sz w:val="28"/>
          <w:szCs w:val="28"/>
          <w:lang w:val="uk-UA"/>
        </w:rPr>
        <w:t>[</w:t>
      </w:r>
      <w:r>
        <w:rPr>
          <w:rFonts w:ascii="Times New Roman" w:hAnsi="Times New Roman" w:cs="Times New Roman"/>
          <w:sz w:val="28"/>
          <w:szCs w:val="28"/>
          <w:lang w:val="uk-UA"/>
        </w:rPr>
        <w:t>складено автором</w:t>
      </w:r>
      <w:r w:rsidRPr="007545BB">
        <w:rPr>
          <w:rFonts w:ascii="Times New Roman" w:hAnsi="Times New Roman" w:cs="Times New Roman"/>
          <w:sz w:val="28"/>
          <w:szCs w:val="28"/>
          <w:lang w:val="uk-UA"/>
        </w:rPr>
        <w:t>]</w:t>
      </w:r>
    </w:p>
    <w:p w14:paraId="074683EF" w14:textId="77777777" w:rsidR="004D658F" w:rsidRPr="007545BB" w:rsidRDefault="004D658F" w:rsidP="004D658F">
      <w:pPr>
        <w:spacing w:after="0" w:line="360" w:lineRule="auto"/>
        <w:jc w:val="center"/>
        <w:rPr>
          <w:rFonts w:ascii="Times New Roman" w:hAnsi="Times New Roman" w:cs="Times New Roman"/>
          <w:sz w:val="28"/>
          <w:szCs w:val="28"/>
          <w:lang w:val="uk-UA"/>
        </w:rPr>
      </w:pPr>
    </w:p>
    <w:p w14:paraId="37401528" w14:textId="77777777" w:rsidR="004D658F" w:rsidRPr="002D5E7C" w:rsidRDefault="004D658F" w:rsidP="004D658F">
      <w:pPr>
        <w:spacing w:after="0" w:line="360" w:lineRule="auto"/>
        <w:ind w:firstLine="709"/>
        <w:jc w:val="both"/>
        <w:rPr>
          <w:rFonts w:ascii="Times New Roman" w:hAnsi="Times New Roman" w:cs="Times New Roman"/>
          <w:sz w:val="28"/>
          <w:szCs w:val="28"/>
          <w:lang w:val="uk-UA"/>
        </w:rPr>
      </w:pPr>
      <w:r w:rsidRPr="002D5E7C">
        <w:rPr>
          <w:rFonts w:ascii="Times New Roman" w:hAnsi="Times New Roman" w:cs="Times New Roman"/>
          <w:sz w:val="28"/>
          <w:szCs w:val="28"/>
          <w:lang w:val="uk-UA"/>
        </w:rPr>
        <w:t>Отже, методичний інструментарій реалізації дослідницького підходу у курсі географії 5</w:t>
      </w:r>
      <w:r>
        <w:rPr>
          <w:rFonts w:ascii="Times New Roman" w:hAnsi="Times New Roman" w:cs="Times New Roman"/>
          <w:sz w:val="28"/>
          <w:szCs w:val="28"/>
          <w:lang w:val="uk-UA"/>
        </w:rPr>
        <w:t>-</w:t>
      </w:r>
      <w:r w:rsidRPr="002D5E7C">
        <w:rPr>
          <w:rFonts w:ascii="Times New Roman" w:hAnsi="Times New Roman" w:cs="Times New Roman"/>
          <w:sz w:val="28"/>
          <w:szCs w:val="28"/>
          <w:lang w:val="uk-UA"/>
        </w:rPr>
        <w:t xml:space="preserve">9 класів є не набором ізольованих педагогічних засобів, а цілісною системою, побудованою на засадах вікової адекватності, практичної спрямованості, доступності, системності та компетентнісної орієнтації. Його розроблення й апробація дали підстави стверджувати, що дослідницький підхід у географічній освіті стає реально ефективним тоді, коли підкріплений конкретними завданнями, продуманими формами роботи, чітко структурованими матеріалами, інструментами спостереження, аналізу та рефлексії. Практичне значення запропонованого інструментарію полягає в можливості його безпосереднього використання вчителем географії під час </w:t>
      </w:r>
      <w:r w:rsidRPr="002D5E7C">
        <w:rPr>
          <w:rFonts w:ascii="Times New Roman" w:hAnsi="Times New Roman" w:cs="Times New Roman"/>
          <w:sz w:val="28"/>
          <w:szCs w:val="28"/>
          <w:lang w:val="uk-UA"/>
        </w:rPr>
        <w:lastRenderedPageBreak/>
        <w:t>планування уроків, практичних робіт, мініпроєктів, польових спостережень та тематичного оцінювання, а також у його адаптивності до різних класів і змістових ліній шкільного курсу.</w:t>
      </w:r>
    </w:p>
    <w:p w14:paraId="30787540" w14:textId="77777777" w:rsidR="004D658F" w:rsidRDefault="004D658F" w:rsidP="004D658F">
      <w:pPr>
        <w:spacing w:after="0" w:line="360" w:lineRule="auto"/>
        <w:jc w:val="both"/>
        <w:rPr>
          <w:rFonts w:ascii="Times New Roman" w:hAnsi="Times New Roman" w:cs="Times New Roman"/>
          <w:sz w:val="28"/>
          <w:szCs w:val="28"/>
          <w:lang w:val="uk-UA"/>
        </w:rPr>
      </w:pPr>
    </w:p>
    <w:p w14:paraId="1836EA4D" w14:textId="77777777" w:rsidR="004D658F" w:rsidRDefault="004D658F" w:rsidP="004D658F">
      <w:pPr>
        <w:spacing w:after="0" w:line="360" w:lineRule="auto"/>
        <w:jc w:val="both"/>
        <w:rPr>
          <w:rFonts w:ascii="Times New Roman" w:hAnsi="Times New Roman" w:cs="Times New Roman"/>
          <w:sz w:val="28"/>
          <w:szCs w:val="28"/>
          <w:lang w:val="uk-UA"/>
        </w:rPr>
      </w:pPr>
    </w:p>
    <w:p w14:paraId="0DC73B7B" w14:textId="77777777" w:rsidR="004D658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3.3. Критерії, показники та рівні сформованості географічних компетентностей  учнів</w:t>
      </w:r>
    </w:p>
    <w:p w14:paraId="2F41974E" w14:textId="77777777" w:rsidR="004D658F" w:rsidRDefault="004D658F" w:rsidP="004D658F">
      <w:pPr>
        <w:spacing w:after="0" w:line="360" w:lineRule="auto"/>
        <w:ind w:firstLine="709"/>
        <w:jc w:val="both"/>
        <w:rPr>
          <w:rFonts w:ascii="Times New Roman" w:hAnsi="Times New Roman" w:cs="Times New Roman"/>
          <w:sz w:val="28"/>
          <w:szCs w:val="28"/>
          <w:lang w:val="uk-UA"/>
        </w:rPr>
      </w:pPr>
    </w:p>
    <w:p w14:paraId="025658F7"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Розроблення критеріїв, показників і рівнів сформованості географічних компетентностей учнів є необхідною умовою завершеності всієї моделі реалізації дослідницького підходу у шкільному курсі географії. Без спеціально спроєктованого діагностичного блоку навіть методично обґрунтований інструментарій залишається неповним, оскільки не дає змоги фіксувати динаміку освітніх змін, виявляти слабкі й сильні сторони навчального процесу та співвідносити заплановані результати з фактичним рівнем розвитку учнів. У контексті компетентнісної освіти оцінювання не може зводитися до перевірки обсягу засвоєної інформації, оскільки сама компетентність охоплює знання, уміння, ставлення, досвід діяльності, здатність до застосування та рефлексії. Саме тому діагностична модель, розроблена для цього дослідження, ґрунтується на багатокомпонентному підході й передбачає поєднання мотиваційного, когнітивного, діяльнісного та рефлексивного критеріїв.</w:t>
      </w:r>
    </w:p>
    <w:p w14:paraId="459FB619"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Визначення основних критеріїв оцінювання було здійснено з урахуванням логіки структури предметної географічної компетентності та внутрішньої будови дослідницької діяльності. Якщо географічна компетентність передбачає не лише володіння поняттями й фактами, а й інтерес до предмета, здатність діяти з географічною інформацією, інтерпретувати дані, аргументувати висновки та оцінювати власну роботу, то й критерії її діагностики повинні охоплювати всі ці площини. Саме тому в якості базових було обрано чотири критерії: мотиваційний, когнітивний, діяльнісний і рефлексивний. Їх сукупність дає змогу </w:t>
      </w:r>
      <w:r w:rsidRPr="00C259BC">
        <w:rPr>
          <w:rFonts w:ascii="Times New Roman" w:hAnsi="Times New Roman" w:cs="Times New Roman"/>
          <w:sz w:val="28"/>
          <w:szCs w:val="28"/>
          <w:lang w:val="uk-UA"/>
        </w:rPr>
        <w:lastRenderedPageBreak/>
        <w:t xml:space="preserve">оцінювати не окремі розрізнені прояви навчальної поведінки, а цілісну готовність учня до географічного пізнання в дослідницькому форматі. </w:t>
      </w:r>
    </w:p>
    <w:p w14:paraId="1B19CA08"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Мотиваційний критерій відображає ціннісно-смислову основу географічної компетентності, тобто ті внутрішні спонукання, які забезпечують включення учня в дослідницьку діяльність. У межах компетентнісного підходу мотивація має не другорядне, а системоутворювальне значення, оскільки саме вона визначає готовність учня виходити за межі формального виконання завдань, виявляти інтерес до географічних проблем, ставити запитання, шукати пояснення й підтримувати пізнавальне зусилля впродовж усього процесу роботи. Для географії це особливо важливо, оскільки предмет апелює до реального простору життя, природного середовища, суспільних контрастів та глобальних викликів, а отже, має потужний потенціал для формування пізнавальної зацікавленості, якщо освітній процес організовано діяльнісно. </w:t>
      </w:r>
    </w:p>
    <w:p w14:paraId="4768636E" w14:textId="77777777" w:rsidR="004D658F"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Показниками мотиваційного критерію доцільно визначити інтерес до географії, бажання виконувати дослідницькі завдання, пізнавальну активність і самостійність. Інтерес до географії проявляється у вибірковій увазі до географічних питань, позитивному ставленні до уроку, готовності долучатися до обговорення просторових проблем. Бажання виконувати дослідницькі завдання виявляється в прийнятті діяльнісного формату навчання не як зовнішнього обов’язку, а як змістовно мотивованої роботи. Пізнавальна активність пов’язана з частотою й змістовністю запитань, ініціативністю під час аналізу джерел, прагненням уточнювати та перевіряти припущення. Самостійність означає здатність учня працювати без постійної зовнішньої підтримки, дотримуючись логіки дослідження і приймаючи власні мікрорішення у процесі виконання завдання.</w:t>
      </w:r>
    </w:p>
    <w:p w14:paraId="0ABB5A97"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Когнітивний критерій характеризує змістовий і розумовий рівень сформованості географічної компетентності. Його сутність полягає не у простому накопиченні фактологічного матеріалу, а в здатності учня розуміти географічні поняття, бачити зв’язки між компонентами природи й суспільства, пояснювати просторові відмінності та осмислено працювати з інформацією </w:t>
      </w:r>
      <w:r w:rsidRPr="00C259BC">
        <w:rPr>
          <w:rFonts w:ascii="Times New Roman" w:hAnsi="Times New Roman" w:cs="Times New Roman"/>
          <w:sz w:val="28"/>
          <w:szCs w:val="28"/>
          <w:lang w:val="uk-UA"/>
        </w:rPr>
        <w:lastRenderedPageBreak/>
        <w:t xml:space="preserve">різного типу. Географічне знання в сучасній школі не може оцінюватися виключно через механічне відтворення визначень; значно важливішим є те, чи здатен учень застосувати поняттєвий апарат для інтерпретації реальних об’єктів, процесів і явищ. Саме тому когнітивний критерій виступає центральною ланкою діагностичної моделі, оскільки він фіксує глибину розуміння предмета. </w:t>
      </w:r>
    </w:p>
    <w:p w14:paraId="508F0E59"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До показників когнітивного критерію віднесено знання географічних понять, розуміння причинно-наслідкових зв’язків, уміння аналізувати географічну інформацію та здатність пояснювати явища. Знання географічних понять передбачає не лише відтворення термінів, а й коректне вживання їх у відповідному контексті. Розуміння причинно-наслідкових зв’язків проявляється у здатності бачити залежність між рельєфом і стоком, кліматом і природними зонами, ресурсами і господарською спеціалізацією, населенням і рівнем урбанізації. Уміння аналізувати географічну інформацію охоплює роботу з картами, діаграмами, таблицями, кліматограмами, текстами, ілюстраціями та статистичними матеріалами. Здатність пояснювати явища полягає в умінні формулювати логічно зв’язний висновок, спираючись на факти, ознаки й виявлені закономірності.</w:t>
      </w:r>
    </w:p>
    <w:p w14:paraId="1B264EB7"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Діяльнісний критерій відображає операційно-практичний вимір географічної компетентності, тобто здатність учня здійснювати конкретні предметні дії, притаманні географічному дослідженню. Географія є дисципліною, в якій знання принципово пов’язане з дією: карта повинна читатися й інтерпретуватися, дані мають збиратися, порівнюватися та узагальнюватися, а висновки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формулюватися на основі певної послідовності аналітичних кроків. Саме тому оцінювання компетентності без урахування діяльнісної складової буде неповним, навіть якщо учень демонструє добру теоретичну обізнаність. У межах дослідницького підходу цей критерій набуває особливого значення, оскільки переводить географічну освіту у площину реальної інтелектуально-практичної діяльності.</w:t>
      </w:r>
    </w:p>
    <w:p w14:paraId="27A688EA"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Показниками діяльнісного критерію визначено уміння працювати з картою, уміння збирати дані, уміння порівнювати, узагальнювати й робити </w:t>
      </w:r>
      <w:r w:rsidRPr="00C259BC">
        <w:rPr>
          <w:rFonts w:ascii="Times New Roman" w:hAnsi="Times New Roman" w:cs="Times New Roman"/>
          <w:sz w:val="28"/>
          <w:szCs w:val="28"/>
          <w:lang w:val="uk-UA"/>
        </w:rPr>
        <w:lastRenderedPageBreak/>
        <w:t>висновки, а також уміння виконувати мінідослідження. Уміння працювати з картою охоплює читання умовних позначень, орієнтацію в масштабі, визначення просторового положення об’єктів, встановлення територіальних відмінностей та інтерпретацію тематичного змісту. Уміння збирати дані передбачає фіксацію результатів спостереження, добір показників з таблиць і статистичних джерел, пошук релевантної інформації в доступних матеріалах. Уміння порівнювати, узагальнювати й робити висновки є інтегративним показником, оскільки саме він демонструє, чи здатен учень перейти від окремих фактів до аналітичного судження. Виконання мінідослідження означає спроможність пройти спрощений цикл дослідницької роботи: від постановки запитання до короткого обґрунтованого результату.</w:t>
      </w:r>
    </w:p>
    <w:p w14:paraId="3ADF48F5"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Рефлексивний критерій відображає здатність учня осмислювати власну діяльність, оцінювати якість отриманого результату, виявляти помилки та вдосконалювати спосіб дії. У сучасній педагогіці рефлексія розглядається не як факультативний компонент, а як необхідна умова повноцінного компетентнісного навчання, оскільки без неї неможливий перехід від окремого виконаного завдання до усвідомленого досвіду діяльності. Для географічного дослідження рефлексивний вимір є особливо важливим: учень має не лише отримати відповідь, а й розуміти, на яких даних вона ґрунтується, наскільки вона є переконливою, де могли виникнути похибки та як можна покращити хід дослідження надалі.</w:t>
      </w:r>
    </w:p>
    <w:p w14:paraId="22FEB194"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Показниками рефлексивного критерію виступають здатність оцінювати власну діяльність, уміння виправляти помилки, усвідомлення результатів дослідження та вміння презентувати висновки. Здатність оцінювати власну діяльність означає, що учень може співвіднести отриманий результат із поставленою метою і критеріями якості. Уміння виправляти помилки передбачає виявлення неточностей у записах, висновках або доборі джерел і спробу їх коригування. Усвідомлення результатів дослідження проявляється в розумінні того, що саме вдалося встановити й чому це можна вважати обґрунтованим. Уміння презентувати висновки охоплює здатність логічно, послідовно й </w:t>
      </w:r>
      <w:r w:rsidRPr="00C259BC">
        <w:rPr>
          <w:rFonts w:ascii="Times New Roman" w:hAnsi="Times New Roman" w:cs="Times New Roman"/>
          <w:sz w:val="28"/>
          <w:szCs w:val="28"/>
          <w:lang w:val="uk-UA"/>
        </w:rPr>
        <w:lastRenderedPageBreak/>
        <w:t>предметно подати результат дослідницької роботи в усній, письмовій або графічній формі.</w:t>
      </w:r>
    </w:p>
    <w:p w14:paraId="1FEF34B0" w14:textId="77777777" w:rsidR="004D658F"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Для практичної зручності подальшого використання розробленої діагностичної системи кожен із чотирьох критеріїв доцільно оцінювати за чотирма показниками, а кожен показник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за чотирибальною шкалою від 0 до 3 балів</w:t>
      </w:r>
      <w:r>
        <w:rPr>
          <w:rFonts w:ascii="Times New Roman" w:hAnsi="Times New Roman" w:cs="Times New Roman"/>
          <w:sz w:val="28"/>
          <w:szCs w:val="28"/>
          <w:lang w:val="uk-UA"/>
        </w:rPr>
        <w:t xml:space="preserve"> (рис. 3.2)</w:t>
      </w:r>
      <w:r w:rsidRPr="00C259BC">
        <w:rPr>
          <w:rFonts w:ascii="Times New Roman" w:hAnsi="Times New Roman" w:cs="Times New Roman"/>
          <w:sz w:val="28"/>
          <w:szCs w:val="28"/>
          <w:lang w:val="uk-UA"/>
        </w:rPr>
        <w:t xml:space="preserve">. Нуль балів фіксує відсутність або майже повну невираженість ознаки; один бал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її епізодичний, нестійкий прояв; два бали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достатньо регулярний, але ще не повністю самостійний прояв; три бали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стійкий, усвідомлений і самостійний прояв. За такої системи максимальна кількість балів за одним критерієм становить 12, а загальна максимальна кількість балів за всіма критеріями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48. Саме ця числова модель є найбільш зручною для подальшої візуалізації у вигляді графіка або діаграми, оскільки дозволяє відобразити як індивідуальний профіль учня, так і узагальнені показники класу.</w:t>
      </w:r>
    </w:p>
    <w:p w14:paraId="36C50713" w14:textId="77777777" w:rsidR="004D658F" w:rsidRDefault="004D658F" w:rsidP="004D658F">
      <w:pPr>
        <w:spacing w:after="0" w:line="360" w:lineRule="auto"/>
        <w:jc w:val="both"/>
        <w:rPr>
          <w:rFonts w:ascii="Times New Roman" w:hAnsi="Times New Roman" w:cs="Times New Roman"/>
          <w:sz w:val="28"/>
          <w:szCs w:val="28"/>
          <w:lang w:val="uk-UA"/>
        </w:rPr>
      </w:pPr>
    </w:p>
    <w:p w14:paraId="3FAD3427" w14:textId="77777777" w:rsidR="004D658F" w:rsidRDefault="004D658F" w:rsidP="004D658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09514C8" wp14:editId="524B301F">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B6843F" w14:textId="77777777" w:rsidR="004D658F" w:rsidRDefault="004D658F" w:rsidP="004D658F">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lang w:val="uk-UA"/>
        </w:rPr>
        <w:t xml:space="preserve">Рис. 3.2. Структура сформованості географічних компетентностей за чотирма критеріями </w:t>
      </w:r>
      <w:r w:rsidRPr="00C259BC">
        <w:rPr>
          <w:rFonts w:ascii="Times New Roman" w:hAnsi="Times New Roman" w:cs="Times New Roman"/>
          <w:sz w:val="28"/>
          <w:szCs w:val="28"/>
        </w:rPr>
        <w:t>[</w:t>
      </w:r>
      <w:r>
        <w:rPr>
          <w:rFonts w:ascii="Times New Roman" w:hAnsi="Times New Roman" w:cs="Times New Roman"/>
          <w:sz w:val="28"/>
          <w:szCs w:val="28"/>
          <w:lang w:val="uk-UA"/>
        </w:rPr>
        <w:t>складено автором</w:t>
      </w:r>
      <w:r w:rsidRPr="00C259BC">
        <w:rPr>
          <w:rFonts w:ascii="Times New Roman" w:hAnsi="Times New Roman" w:cs="Times New Roman"/>
          <w:sz w:val="28"/>
          <w:szCs w:val="28"/>
        </w:rPr>
        <w:t>]</w:t>
      </w:r>
    </w:p>
    <w:p w14:paraId="5EFC5B0C" w14:textId="77777777" w:rsidR="004D658F" w:rsidRPr="00C259BC" w:rsidRDefault="004D658F" w:rsidP="004D658F">
      <w:pPr>
        <w:spacing w:after="0" w:line="360" w:lineRule="auto"/>
        <w:jc w:val="center"/>
        <w:rPr>
          <w:rFonts w:ascii="Times New Roman" w:hAnsi="Times New Roman" w:cs="Times New Roman"/>
          <w:sz w:val="28"/>
          <w:szCs w:val="28"/>
        </w:rPr>
      </w:pPr>
    </w:p>
    <w:p w14:paraId="123DC66F" w14:textId="77777777" w:rsidR="004D658F"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На основі запропонованої бальної системи рівні сформованості географічних компетентностей доцільно визначати таким чином: високий рівень </w:t>
      </w:r>
      <w:r>
        <w:rPr>
          <w:rFonts w:ascii="Times New Roman" w:hAnsi="Times New Roman" w:cs="Times New Roman"/>
          <w:sz w:val="28"/>
          <w:szCs w:val="28"/>
          <w:lang w:val="uk-UA"/>
        </w:rPr>
        <w:lastRenderedPageBreak/>
        <w:t>–</w:t>
      </w:r>
      <w:r w:rsidRPr="00C259BC">
        <w:rPr>
          <w:rFonts w:ascii="Times New Roman" w:hAnsi="Times New Roman" w:cs="Times New Roman"/>
          <w:sz w:val="28"/>
          <w:szCs w:val="28"/>
          <w:lang w:val="uk-UA"/>
        </w:rPr>
        <w:t xml:space="preserve"> 37–48 балів, достатній рівень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25–36 балів, середній рівень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13–24 бали, початковий рівень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0–12 балів</w:t>
      </w:r>
      <w:r>
        <w:rPr>
          <w:rFonts w:ascii="Times New Roman" w:hAnsi="Times New Roman" w:cs="Times New Roman"/>
          <w:sz w:val="28"/>
          <w:szCs w:val="28"/>
          <w:lang w:val="uk-UA"/>
        </w:rPr>
        <w:t xml:space="preserve"> (рис. 3.3)</w:t>
      </w:r>
      <w:r w:rsidRPr="00C259BC">
        <w:rPr>
          <w:rFonts w:ascii="Times New Roman" w:hAnsi="Times New Roman" w:cs="Times New Roman"/>
          <w:sz w:val="28"/>
          <w:szCs w:val="28"/>
          <w:lang w:val="uk-UA"/>
        </w:rPr>
        <w:t xml:space="preserve">. Таке ранжування відповідає чотирирівневій логіці оцінювання, поширеній у вітчизняній педагогічній теорії компетентнісного вимірювання, і водночас зберігає достатню гнучкість для предметної адаптації. Окремо доцільно визначати і рівні за кожним критерієм: високий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10–12 балів, достатній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7–9 балів, середній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4–6 балів, початковий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0–3 бали</w:t>
      </w:r>
      <w:r>
        <w:rPr>
          <w:rFonts w:ascii="Times New Roman" w:hAnsi="Times New Roman" w:cs="Times New Roman"/>
          <w:sz w:val="28"/>
          <w:szCs w:val="28"/>
          <w:lang w:val="uk-UA"/>
        </w:rPr>
        <w:t xml:space="preserve">, що </w:t>
      </w:r>
      <w:r w:rsidRPr="00C259BC">
        <w:rPr>
          <w:rFonts w:ascii="Times New Roman" w:hAnsi="Times New Roman" w:cs="Times New Roman"/>
          <w:sz w:val="28"/>
          <w:szCs w:val="28"/>
          <w:lang w:val="uk-UA"/>
        </w:rPr>
        <w:t>дає змогу бачити не лише загальний результат, а й структуру компетентності, тобто виявляти, який саме компонент сформований краще, а який потребує цілеспрямованої педагогічної підтримки.</w:t>
      </w:r>
    </w:p>
    <w:p w14:paraId="66F25974" w14:textId="77777777" w:rsidR="004D658F" w:rsidRDefault="004D658F" w:rsidP="004D658F">
      <w:pPr>
        <w:spacing w:after="0" w:line="360" w:lineRule="auto"/>
        <w:jc w:val="both"/>
        <w:rPr>
          <w:rFonts w:ascii="Times New Roman" w:hAnsi="Times New Roman" w:cs="Times New Roman"/>
          <w:sz w:val="28"/>
          <w:szCs w:val="28"/>
          <w:lang w:val="uk-UA"/>
        </w:rPr>
      </w:pPr>
    </w:p>
    <w:p w14:paraId="7A5E9BC4" w14:textId="77777777" w:rsidR="004D658F" w:rsidRDefault="004D658F" w:rsidP="004D658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2981EB95" wp14:editId="78377031">
            <wp:extent cx="5486400" cy="320040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8AAC3C" w14:textId="77777777" w:rsidR="004D658F" w:rsidRPr="00D91C86" w:rsidRDefault="004D658F" w:rsidP="004D658F">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lang w:val="uk-UA"/>
        </w:rPr>
        <w:t xml:space="preserve">Рис. 3.3. Бальна шкала рівнів сформованості географічних компетентностей </w:t>
      </w:r>
      <w:r w:rsidRPr="00D91C86">
        <w:rPr>
          <w:rFonts w:ascii="Times New Roman" w:hAnsi="Times New Roman" w:cs="Times New Roman"/>
          <w:sz w:val="28"/>
          <w:szCs w:val="28"/>
        </w:rPr>
        <w:t>[</w:t>
      </w:r>
      <w:r>
        <w:rPr>
          <w:rFonts w:ascii="Times New Roman" w:hAnsi="Times New Roman" w:cs="Times New Roman"/>
          <w:sz w:val="28"/>
          <w:szCs w:val="28"/>
          <w:lang w:val="uk-UA"/>
        </w:rPr>
        <w:t>складено автором</w:t>
      </w:r>
      <w:r w:rsidRPr="00D91C86">
        <w:rPr>
          <w:rFonts w:ascii="Times New Roman" w:hAnsi="Times New Roman" w:cs="Times New Roman"/>
          <w:sz w:val="28"/>
          <w:szCs w:val="28"/>
        </w:rPr>
        <w:t>]</w:t>
      </w:r>
    </w:p>
    <w:p w14:paraId="54FE415A" w14:textId="77777777" w:rsidR="004D658F" w:rsidRPr="00C259BC" w:rsidRDefault="004D658F" w:rsidP="004D658F">
      <w:pPr>
        <w:spacing w:after="0" w:line="360" w:lineRule="auto"/>
        <w:jc w:val="center"/>
        <w:rPr>
          <w:rFonts w:ascii="Times New Roman" w:hAnsi="Times New Roman" w:cs="Times New Roman"/>
          <w:sz w:val="28"/>
          <w:szCs w:val="28"/>
          <w:lang w:val="uk-UA"/>
        </w:rPr>
      </w:pPr>
    </w:p>
    <w:p w14:paraId="391E0571"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Високий рівень сформованості географічних компетентностей характеризує учня, який виявляє стійкий інтерес до географії, активно включається в дослідницькі завдання, здатний самостійно підтримувати пізнавальну ініціативу і позитивно сприймає складні аналітичні форми роботи. За когнітивним критерієм такий учень демонструє не лише знання понять, а й глибоке розуміння географічних закономірностей, здатність пояснювати явища </w:t>
      </w:r>
      <w:r w:rsidRPr="00C259BC">
        <w:rPr>
          <w:rFonts w:ascii="Times New Roman" w:hAnsi="Times New Roman" w:cs="Times New Roman"/>
          <w:sz w:val="28"/>
          <w:szCs w:val="28"/>
          <w:lang w:val="uk-UA"/>
        </w:rPr>
        <w:lastRenderedPageBreak/>
        <w:t>через систему взаємопов’язаних чинників. За діяльнісним критерієм він впевнено працює з картою, самостійно добирає й аналізує дані, виконує мінідослідження без суттєвої зовнішньої допомоги. За рефлексивним критерієм здатен оцінити якість власної роботи, виявити похибки, запропонувати спосіб удосконалення та аргументовано презентувати отримані висновки.</w:t>
      </w:r>
    </w:p>
    <w:p w14:paraId="4FC3A188"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Достатній рівень сформованості географічних компетентностей передбачає позитивне ставлення до предмета, зацікавленість у виконанні дослідницьких завдань і достатню активність у процесі навчання, хоча не завжди однаково стійку в різних ситуаціях. Учень із таким рівнем загалом володіє основними географічними поняттями, розуміє типові причинно-наслідкові зв’язки й може аналізувати інформацію за опорою на запитання, інструкцію або структуру таблиці. Практичні дії він виконує правильно, але інколи потребує консультації щодо послідовності операцій або точності висновку. Рефлексія в такого учня наявна, проте здебільшого розгортається після додаткового стимулу з боку вчителя; презентування результату є логічним, хоча не завжди достатньо самостійним і глибоко аргументованим.</w:t>
      </w:r>
    </w:p>
    <w:p w14:paraId="1F18C450"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Середній рівень сформованості географічних компетентностей виявляється у нестійкому інтересі до географії та вибірковій включеності в дослідницьку діяльність. Учень виконує завдання переважно за зовнішньої мотивації, не завжди проявляє ініціативу, а самостійність має обмежений характер. Його знання понять є фрагментарними, причинно-наслідкові зв’язки він розуміє частково, а аналіз географічної інформації можливий переважно в межах дуже чітко заданої структури. Практичні дії виконуються з помилками або потребують значної педагогічної підтримки. Рефлексивна складова ще недостатньо розвинена: учень може переказати, що робив, але не завжди усвідомлює якість способу дії, не завжди виявляє причину помилки та труднощі в аргументованій презентації висновку</w:t>
      </w:r>
      <w:r>
        <w:rPr>
          <w:rFonts w:ascii="Times New Roman" w:hAnsi="Times New Roman" w:cs="Times New Roman"/>
          <w:sz w:val="28"/>
          <w:szCs w:val="28"/>
          <w:lang w:val="uk-UA"/>
        </w:rPr>
        <w:t>.</w:t>
      </w:r>
    </w:p>
    <w:p w14:paraId="142FE5BD"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Початковий рівень сформованості географічних компетентностей характеризується слабким інтересом до предмета або його ситуативністю, низькою готовністю до дослідницьких форм роботи, відсутністю стійкої </w:t>
      </w:r>
      <w:r w:rsidRPr="00C259BC">
        <w:rPr>
          <w:rFonts w:ascii="Times New Roman" w:hAnsi="Times New Roman" w:cs="Times New Roman"/>
          <w:sz w:val="28"/>
          <w:szCs w:val="28"/>
          <w:lang w:val="uk-UA"/>
        </w:rPr>
        <w:lastRenderedPageBreak/>
        <w:t>пізнавальної активності та вираженою залежністю від зовнішнього керування. Учень володіє лише окремими фактами або термінами, не встановлює причинно-наслідкових зв’язків, не може самостійно проаналізувати карту, таблицю чи інше географічне джерело. Практичні завдання виконує фрагментарно, часто формально, без усвідомлення логіки дії. Рефлексивні прояви мінімальні: оцінювання власної роботи має поверховий характер, виправлення помилок без сторонньої допомоги практично відсутнє, а формулювання висновків зводиться до уривчастих або непов’язаних тверджень.</w:t>
      </w:r>
    </w:p>
    <w:p w14:paraId="0C8D51BD"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Розроблення діагностичного інструментарію для цієї моделі передбачало створення комплексу взаємодоповнювальних засобів, кожен із яких фіксує різні сторони сформованості географічної компетентності. До такого комплексу доцільно включити анкету для учнів, діагностичні завдання, карту педагогічного спостереження, чек-лист оцінювання дослідницьких умінь та таблицю фіксації результатів. Методологічно важливо, що жоден із цих інструментів не є самодостатнім: анкета виявляє мотиваційно-ціннісну площину, завдання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когнітивну й діяльнісну, спостереження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поведінкові прояви у процесі роботи, чек-лист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структуровану фіксацію дослідницьких дій, а узагальнювальна таблиця забезпечує підсумкову інтерпретацію даних у бальному та рівневому виразі.</w:t>
      </w:r>
    </w:p>
    <w:p w14:paraId="24857D7A"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Анкета для учнів у цій системі не повинна бути надмірно об’ємною, оскільки її завдання полягає не в психометричному портретуванні особистості, а у виявленні ставлення до географії як навчального предмета та дослідницьких форм діяльності. До анкети доцільно включити 8</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10 тверджень із чотирма варіантами відповіді, кожен з яких оцінюється від 0 до 3 балів. Наприклад: «Мені цікаво дізнаватися, чому географічні явища відбуваються саме так», «Мені подобається працювати з картами, таблицями та іншими географічними матеріалами», «Я охоче виконую завдання, у яких потрібно самому зробити висновок», «Під час уроку географії я часто ставлю уточнювальні запитання». Сукупний результат анкети може становити від 0 до 24 або 30 балів залежно від кількості тверджень, а надалі переводитися у рівневу шкалу як допоміжний </w:t>
      </w:r>
      <w:r w:rsidRPr="00C259BC">
        <w:rPr>
          <w:rFonts w:ascii="Times New Roman" w:hAnsi="Times New Roman" w:cs="Times New Roman"/>
          <w:sz w:val="28"/>
          <w:szCs w:val="28"/>
          <w:lang w:val="uk-UA"/>
        </w:rPr>
        <w:lastRenderedPageBreak/>
        <w:t>індикатор мотиваційного критерію.</w:t>
      </w:r>
      <w:r>
        <w:rPr>
          <w:rFonts w:ascii="Times New Roman" w:hAnsi="Times New Roman" w:cs="Times New Roman"/>
          <w:sz w:val="28"/>
          <w:szCs w:val="28"/>
          <w:lang w:val="uk-UA"/>
        </w:rPr>
        <w:t xml:space="preserve"> Анкета для учнів щодо виявлення мотиваційного компонента сформованості географічних компетентностей представлена у Додатку А.</w:t>
      </w:r>
    </w:p>
    <w:p w14:paraId="302B858A"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Діагностичні завдання доцільно будувати за принципом зростання складності й предметної наближеності до реальних форм географічного аналізу. У структурі діагностики можуть бути використані чотири типи завдань: завдання на розуміння географічних понять, завдання на встановлення причинно-наслідкових зв’язків, завдання на аналіз карти або статистичної таблиці, а також коротке мінідослідження з обов’язковим формулюванням</w:t>
      </w:r>
      <w:r>
        <w:rPr>
          <w:rFonts w:ascii="Times New Roman" w:hAnsi="Times New Roman" w:cs="Times New Roman"/>
          <w:sz w:val="28"/>
          <w:szCs w:val="28"/>
          <w:lang w:val="uk-UA"/>
        </w:rPr>
        <w:t xml:space="preserve"> </w:t>
      </w:r>
      <w:r w:rsidRPr="00C259BC">
        <w:rPr>
          <w:rFonts w:ascii="Times New Roman" w:hAnsi="Times New Roman" w:cs="Times New Roman"/>
          <w:sz w:val="28"/>
          <w:szCs w:val="28"/>
          <w:lang w:val="uk-UA"/>
        </w:rPr>
        <w:t>висновку. Для кожного типу може бути передбачено оцінювання за шкалою 0</w:t>
      </w:r>
      <w:r>
        <w:rPr>
          <w:rFonts w:ascii="Times New Roman" w:hAnsi="Times New Roman" w:cs="Times New Roman"/>
          <w:sz w:val="28"/>
          <w:szCs w:val="28"/>
          <w:lang w:val="uk-UA"/>
        </w:rPr>
        <w:t>-</w:t>
      </w:r>
      <w:r w:rsidRPr="00C259BC">
        <w:rPr>
          <w:rFonts w:ascii="Times New Roman" w:hAnsi="Times New Roman" w:cs="Times New Roman"/>
          <w:sz w:val="28"/>
          <w:szCs w:val="28"/>
          <w:lang w:val="uk-UA"/>
        </w:rPr>
        <w:t>3 бали, що дає змогу отримати узгоджений числовий результат, співвіднесений із когнітивним і діяльнісним критеріями. Перевага такого підходу полягає в тому, що він не обмежується тестуванням фактів, а фіксує здатність учня діяти з географічним змістом</w:t>
      </w:r>
      <w:r>
        <w:rPr>
          <w:rFonts w:ascii="Times New Roman" w:hAnsi="Times New Roman" w:cs="Times New Roman"/>
          <w:sz w:val="28"/>
          <w:szCs w:val="28"/>
          <w:lang w:val="uk-UA"/>
        </w:rPr>
        <w:t xml:space="preserve">. </w:t>
      </w:r>
      <w:r w:rsidRPr="00C259BC">
        <w:rPr>
          <w:rFonts w:ascii="Times New Roman" w:hAnsi="Times New Roman" w:cs="Times New Roman"/>
          <w:sz w:val="28"/>
          <w:szCs w:val="28"/>
          <w:lang w:val="uk-UA"/>
        </w:rPr>
        <w:t>Діагностичні завдання для визначення когнітивного та діяльнісного компонентів сформованості географічних компетентностей</w:t>
      </w:r>
      <w:r>
        <w:rPr>
          <w:rFonts w:ascii="Times New Roman" w:hAnsi="Times New Roman" w:cs="Times New Roman"/>
          <w:sz w:val="28"/>
          <w:szCs w:val="28"/>
          <w:lang w:val="uk-UA"/>
        </w:rPr>
        <w:t xml:space="preserve"> представлені у Додатку Б.</w:t>
      </w:r>
    </w:p>
    <w:p w14:paraId="10AEDF45"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Карта педагогічного спостереження повинна бути орієнтована на фіксацію тих проявів, які важко виявити лише за письмовим продуктом діяльності. У ній доцільно передбачити спостережувані позиції: включеність у роботу, ініціативність, готовність ставити запитання, самостійність під час виконання дій, здатність співпрацювати, корекція власних помилок, якість усної аргументації. Карта педагогічного спостереження за проявами географічних компетентностей учнів</w:t>
      </w:r>
      <w:r>
        <w:rPr>
          <w:rFonts w:ascii="Times New Roman" w:hAnsi="Times New Roman" w:cs="Times New Roman"/>
          <w:sz w:val="28"/>
          <w:szCs w:val="28"/>
          <w:lang w:val="uk-UA"/>
        </w:rPr>
        <w:t xml:space="preserve"> представлена у Додатку В. </w:t>
      </w:r>
      <w:r w:rsidRPr="00C259BC">
        <w:rPr>
          <w:rFonts w:ascii="Times New Roman" w:hAnsi="Times New Roman" w:cs="Times New Roman"/>
          <w:sz w:val="28"/>
          <w:szCs w:val="28"/>
          <w:lang w:val="uk-UA"/>
        </w:rPr>
        <w:t>Кожен параметр може оцінюватися в межах тієї самої чотирибальної шкали 0</w:t>
      </w:r>
      <w:r>
        <w:rPr>
          <w:rFonts w:ascii="Times New Roman" w:hAnsi="Times New Roman" w:cs="Times New Roman"/>
          <w:sz w:val="28"/>
          <w:szCs w:val="28"/>
          <w:lang w:val="uk-UA"/>
        </w:rPr>
        <w:t>-</w:t>
      </w:r>
      <w:r w:rsidRPr="00C259BC">
        <w:rPr>
          <w:rFonts w:ascii="Times New Roman" w:hAnsi="Times New Roman" w:cs="Times New Roman"/>
          <w:sz w:val="28"/>
          <w:szCs w:val="28"/>
          <w:lang w:val="uk-UA"/>
        </w:rPr>
        <w:t>3, що забезпечує єдність усієї діагностичної системи. Саме карта спостереження особливо важлива для оцінювання мотиваційного й рефлексивного критеріїв, де поведінкові прояви іноді є інформативнішими за формально правильні письмові відповіді</w:t>
      </w:r>
      <w:r>
        <w:rPr>
          <w:rFonts w:ascii="Times New Roman" w:hAnsi="Times New Roman" w:cs="Times New Roman"/>
          <w:sz w:val="28"/>
          <w:szCs w:val="28"/>
          <w:lang w:val="uk-UA"/>
        </w:rPr>
        <w:t>.</w:t>
      </w:r>
    </w:p>
    <w:p w14:paraId="1FB80F45"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Чек-лист оцінювання дослідницьких умінь </w:t>
      </w:r>
      <w:r>
        <w:rPr>
          <w:rFonts w:ascii="Times New Roman" w:hAnsi="Times New Roman" w:cs="Times New Roman"/>
          <w:sz w:val="28"/>
          <w:szCs w:val="28"/>
          <w:lang w:val="uk-UA"/>
        </w:rPr>
        <w:t xml:space="preserve">на уроці географії представлений у Додатку Г. Його </w:t>
      </w:r>
      <w:r w:rsidRPr="00C259BC">
        <w:rPr>
          <w:rFonts w:ascii="Times New Roman" w:hAnsi="Times New Roman" w:cs="Times New Roman"/>
          <w:sz w:val="28"/>
          <w:szCs w:val="28"/>
          <w:lang w:val="uk-UA"/>
        </w:rPr>
        <w:t xml:space="preserve">доцільно проєктувати як інструмент покрокової фіксації того, наскільки учень володіє основними процедурами </w:t>
      </w:r>
      <w:r w:rsidRPr="00C259BC">
        <w:rPr>
          <w:rFonts w:ascii="Times New Roman" w:hAnsi="Times New Roman" w:cs="Times New Roman"/>
          <w:sz w:val="28"/>
          <w:szCs w:val="28"/>
          <w:lang w:val="uk-UA"/>
        </w:rPr>
        <w:lastRenderedPageBreak/>
        <w:t>шкільного географічного дослідження. До нього можна включити такі позиції: формулює дослідницьке запитання; визначає, які дані потрібні; добирає джерело інформації; правильно зчитує карту або таблицю; виділяє ознаки для порівняння; робить узагальнення; формулює висновок; презентує результат. За кожною позицією також можливе виставлення 0–3 балів або позначки рівня виконання. Методична цінність чек-листа полягає в тому, що він дає змогу перевести складну компетентність у набір конкретних, спостережуваних операцій, не спрощуючи при цьому її сутності.</w:t>
      </w:r>
    </w:p>
    <w:p w14:paraId="732E7C31"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 xml:space="preserve">Таблиця фіксації результатів </w:t>
      </w:r>
      <w:r>
        <w:rPr>
          <w:rFonts w:ascii="Times New Roman" w:hAnsi="Times New Roman" w:cs="Times New Roman"/>
          <w:sz w:val="28"/>
          <w:szCs w:val="28"/>
          <w:lang w:val="uk-UA"/>
        </w:rPr>
        <w:t xml:space="preserve">(Додаток Д) </w:t>
      </w:r>
      <w:r w:rsidRPr="00C259BC">
        <w:rPr>
          <w:rFonts w:ascii="Times New Roman" w:hAnsi="Times New Roman" w:cs="Times New Roman"/>
          <w:sz w:val="28"/>
          <w:szCs w:val="28"/>
          <w:lang w:val="uk-UA"/>
        </w:rPr>
        <w:t xml:space="preserve">є завершальним елементом діагностичної системи, оскільки саме в ній поєднуються всі одержані числові показники. До неї доцільно заносити бали за кожним із чотирьох критеріїв, сумарний результат за всіма критеріями, а також визначений рівень сформованості. Наприклад, для одного учня може бути зафіксовано: мотиваційний критерій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8 балів, когнітивний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9, діяльнісний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7, рефлексивний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6, загальна сума </w:t>
      </w:r>
      <w:r>
        <w:rPr>
          <w:rFonts w:ascii="Times New Roman" w:hAnsi="Times New Roman" w:cs="Times New Roman"/>
          <w:sz w:val="28"/>
          <w:szCs w:val="28"/>
          <w:lang w:val="uk-UA"/>
        </w:rPr>
        <w:t>–</w:t>
      </w:r>
      <w:r w:rsidRPr="00C259BC">
        <w:rPr>
          <w:rFonts w:ascii="Times New Roman" w:hAnsi="Times New Roman" w:cs="Times New Roman"/>
          <w:sz w:val="28"/>
          <w:szCs w:val="28"/>
          <w:lang w:val="uk-UA"/>
        </w:rPr>
        <w:t xml:space="preserve"> 30 балів, що відповідає достатньому рівню. Такий формат особливо зручний для подальшої побудови графіків, профілів компетентності та порівняльних діаграм, якщо в майбутньому система буде реалізована на практиці.</w:t>
      </w:r>
    </w:p>
    <w:p w14:paraId="595F517F"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t>З науково-методичного погляду практичне значення розробленої системи критеріїв, показників і рівнів полягає в тому, що вона забезпечує можливість поєднати якісне педагогічне спостереження з кількісною інтерпретацією результатів. Така подвійна оптика є особливо важливою для оцінювання компетентностей, які не можуть бути вичерпані лише тестовим виміром. Запропонована модель дозволяє проводити індивідуальну та групову діагностику, будувати профілі сформованості, зіставляти результати за критеріями, фіксувати динаміку в часі та планувати адресні методичні впливи. Для вчителя географії це означає можливість перейти від інтуїтивного судження про «сильного» чи «слабкого» учня до структурованого розуміння того, який саме компонент компетентності потребує посилення.</w:t>
      </w:r>
    </w:p>
    <w:p w14:paraId="38C64BFB" w14:textId="77777777" w:rsidR="004D658F" w:rsidRPr="00C259BC" w:rsidRDefault="004D658F" w:rsidP="004D658F">
      <w:pPr>
        <w:spacing w:after="0" w:line="360" w:lineRule="auto"/>
        <w:ind w:firstLine="709"/>
        <w:jc w:val="both"/>
        <w:rPr>
          <w:rFonts w:ascii="Times New Roman" w:hAnsi="Times New Roman" w:cs="Times New Roman"/>
          <w:sz w:val="28"/>
          <w:szCs w:val="28"/>
          <w:lang w:val="uk-UA"/>
        </w:rPr>
      </w:pPr>
      <w:r w:rsidRPr="00C259BC">
        <w:rPr>
          <w:rFonts w:ascii="Times New Roman" w:hAnsi="Times New Roman" w:cs="Times New Roman"/>
          <w:sz w:val="28"/>
          <w:szCs w:val="28"/>
          <w:lang w:val="uk-UA"/>
        </w:rPr>
        <w:lastRenderedPageBreak/>
        <w:t>Отже, критерії, показники та рівні сформованості географічних компетентностей учнів у межах цього дослідження репрезентують цілісну діагностичну систему, побудовану на поєднанні мотиваційного, когнітивного, діяльнісного та рефлексивного вимірів. Її особливістю є поєднання змістової наукової обґрунтованості з можливістю чіткої числової візуалізації результатів, що робить її придатною для подальшого використання в шкільній практиці. Запропонована модель не претендує на статус уже реалізованого експериментального інструменту, але виступає готовою методичною основою для майбутнього педагогічного застосування, у межах якого можна буде об’єктивніше оцінювати, як саме дослідницький підхід впливає на формування географічної компетентності учнів базової школи.</w:t>
      </w:r>
    </w:p>
    <w:p w14:paraId="2A5DA3AB" w14:textId="77777777" w:rsidR="004D658F" w:rsidRDefault="004D658F" w:rsidP="004D658F">
      <w:pPr>
        <w:spacing w:after="0" w:line="360" w:lineRule="auto"/>
        <w:jc w:val="both"/>
        <w:rPr>
          <w:rFonts w:ascii="Times New Roman" w:hAnsi="Times New Roman" w:cs="Times New Roman"/>
          <w:sz w:val="28"/>
          <w:szCs w:val="28"/>
          <w:lang w:val="uk-UA"/>
        </w:rPr>
      </w:pPr>
    </w:p>
    <w:p w14:paraId="655C9589" w14:textId="77777777" w:rsidR="004D658F" w:rsidRDefault="004D658F" w:rsidP="004D658F">
      <w:pPr>
        <w:spacing w:after="0" w:line="360" w:lineRule="auto"/>
        <w:jc w:val="both"/>
        <w:rPr>
          <w:rFonts w:ascii="Times New Roman" w:hAnsi="Times New Roman" w:cs="Times New Roman"/>
          <w:sz w:val="28"/>
          <w:szCs w:val="28"/>
          <w:lang w:val="uk-UA"/>
        </w:rPr>
      </w:pPr>
    </w:p>
    <w:p w14:paraId="2BE18E60" w14:textId="77777777" w:rsidR="004D658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Розділу 3</w:t>
      </w:r>
    </w:p>
    <w:p w14:paraId="071FB80B" w14:textId="77777777" w:rsidR="004D658F" w:rsidRDefault="004D658F" w:rsidP="004D658F">
      <w:pPr>
        <w:spacing w:after="0" w:line="360" w:lineRule="auto"/>
        <w:rPr>
          <w:rFonts w:ascii="Times New Roman" w:hAnsi="Times New Roman" w:cs="Times New Roman"/>
          <w:b/>
          <w:bCs/>
          <w:sz w:val="28"/>
          <w:szCs w:val="28"/>
          <w:lang w:val="uk-UA"/>
        </w:rPr>
      </w:pPr>
    </w:p>
    <w:p w14:paraId="66E43631"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Модель формування географічних компетентностей учнів засобами дослідницької діяльності ґрунтується на компетентнісному підході та специфіці географії як науки, що поєднує просторовий аналіз, роботу з різними джерелами інформації, спостереження, картографування, інтерпретацію статистики та встановлення причинно-наслідкових зв’язків між природними й суспільними явищами. У методичному вимірі така модель розглядається як цілісна система взаємопов’язаних компонентів: цільового, змістового, процесуального, діяльнісного та діагностично-результативного. </w:t>
      </w:r>
    </w:p>
    <w:p w14:paraId="5BFFD87B"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Цільовий блок моделі спрямований на поетапне формування в учнів п’ятого-дев’ятого класів здатності досліджувати географічні об’єкти і процеси на основі спостереження, порівняння, вимірювання, аналізу картографічних і статистичних джерел, формулювання припущень та обґрунтованих висновків. Основними завданнями моделі визначено розвиток пізнавальної ініціативи, предметної географічної компетентності, дослідницьких умінь, просторового мислення та відповідального ставлення до довкілля. Очікуваним результатом є </w:t>
      </w:r>
      <w:r w:rsidRPr="00D91C86">
        <w:rPr>
          <w:rFonts w:ascii="Times New Roman" w:hAnsi="Times New Roman" w:cs="Times New Roman"/>
          <w:sz w:val="28"/>
          <w:szCs w:val="28"/>
          <w:lang w:val="uk-UA"/>
        </w:rPr>
        <w:lastRenderedPageBreak/>
        <w:t xml:space="preserve">перехід від репродуктивного засвоєння матеріалу до аналітичного й інтерпретаційного рівня навчальної діяльності. </w:t>
      </w:r>
    </w:p>
    <w:p w14:paraId="0120C8FE"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Змістовий блок охоплює картографічну грамотність, просторове мислення, уміння працювати з природничою та суспільно-географічною інформацією, аналізувати взаємозв’язки між природою, населенням, господарством і довкіллям. Зміст моделі конкретизується відповідно до вікової логіки курсу географії: у п’ятому класі домінують завдання на орієнтування, план місцевості й погодні спостереження; у шостому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дослідження рельєфу, вод суходолу й природних компонентів; у сьомому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аналіз материків, океанів, природних зон і кліматограм; у восьмому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вивчення природних умов та ресурсів України; у дев’ятому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аналіз населення, господарства, статистичних закономірностей і регіональних відмінностей. </w:t>
      </w:r>
    </w:p>
    <w:p w14:paraId="61CB77BC"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Процесуальний блок моделі реалізується через послідовність етапів: мотиваційно-проблемний, пошуково-проєктувальний, операційно-дослідницький, аналітико-узагальнювальний та рефлексивно-презентаційний. У межах цієї логіки учитель виступає як організатор, консультант і модератор дослідницької діяльності, тоді як учень переходить від позиції пасивного виконавця до суб’єкта пізнання, здатного ставити запитання, добирати джерела, аналізувати інформацію та аргументувати висновки. Діяльнісний блок охоплює спостереження, вимірювання, роботу з картами, таблицями, діаграмами, анкетами, мініпроєктами та польовими дослідженнями. </w:t>
      </w:r>
    </w:p>
    <w:p w14:paraId="55BD61BB"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Практичне втілення моделі в тексті представлено через приклади її застосування у шостому та дев’ятому класах. У шостому класі дослідницькі завдання були пов’язані з атмосферою, водами суходолу та рельєфом, а в дев’ятому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з аналізом демографічних і соціально-економічних показників, порівнянням регіонів і роботою зі статистичними матеріалами. Діагностично-результативний блок моделі передбачає оцінювання не лише кінцевого результату, а й процесу становлення компетентності: здатності формулювати запитання, добирати джерела, аналізувати інформацію, робити висновки і презентувати результати. У цілому модель визначається як цілісна, методично </w:t>
      </w:r>
      <w:r w:rsidRPr="00D91C86">
        <w:rPr>
          <w:rFonts w:ascii="Times New Roman" w:hAnsi="Times New Roman" w:cs="Times New Roman"/>
          <w:sz w:val="28"/>
          <w:szCs w:val="28"/>
          <w:lang w:val="uk-UA"/>
        </w:rPr>
        <w:lastRenderedPageBreak/>
        <w:t xml:space="preserve">продуктивна система, що переводить навчання географії у площину діяльнісного пізнання простору. </w:t>
      </w:r>
    </w:p>
    <w:p w14:paraId="5D5B2098"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Методичний інструментарій дослідницького підходу в курсі географії доцільно розглядати як систему змістових, організаційних, операційних та діагностичних засобів, спрямованих на формування географічної компетентності учнів. Його добір ґрунтується на принципах вікововідповідності, практикоорієнтованості, доступності, системності та компетентнісної спрямованості. Це означає, що дослідницькі завдання мають відповідати віковим можливостям учнів, бути пов’язаними з реальними географічними об’єктами й процесами, мати зрозумілу структуру, поступово ускладнюватися та бути орієнтованими на конкретні результати навчання. </w:t>
      </w:r>
    </w:p>
    <w:p w14:paraId="0BFE4302"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У п’ятому класі інструментарій охоплює прості завдання на спостереження за погодою, визначення сторін горизонту, роботу з планом місцевості та ведення щоденника спостережень. У шостому класі він ускладнюється через дослідження рельєфу, водних об’єктів, аналіз природних компонентів і побудову порівняльних таблиць. У сьомому класі акцент переноситься на аналіз материків і океанів, кліматограм, природних зон та мініпроєкти про регіони світу. Восьмий клас орієнтований на географію України: дослідження природних умов, ресурсів, тематичних карт і навчальні екскурсії. У дев’ятому класі інструментарій набуває виразного аналітичного характеру й охоплює роботу з населенням, господарством, статистикою, регіональними відмінностями та суспільно-географічними мінідослідженнями. </w:t>
      </w:r>
    </w:p>
    <w:p w14:paraId="345D6AC2"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Основними формами реалізації дослідницького підходу визначено урок-дослідження, практичну роботу, мініпроєкт, навчальну екскурсію, групову та індивідуальну дослідницьку роботу. До системи методів віднесено проблемний виклад, частково-пошуковий, дослідницький і проєктний методи, а також спостереження, аналіз картографічних джерел, роботу зі статистикою, моделювання та порівняння. Практична цінність інструментарію полягає у його конкретизації через систему дослідницьких завдань, картки для учнів, таблиці спостережень, шаблони мініпроєктів, критерії оцінювання та рефлексивні </w:t>
      </w:r>
      <w:r w:rsidRPr="00D91C86">
        <w:rPr>
          <w:rFonts w:ascii="Times New Roman" w:hAnsi="Times New Roman" w:cs="Times New Roman"/>
          <w:sz w:val="28"/>
          <w:szCs w:val="28"/>
          <w:lang w:val="uk-UA"/>
        </w:rPr>
        <w:lastRenderedPageBreak/>
        <w:t xml:space="preserve">запитання. У підсумку методичний інструментарій постає як цілісна система, придатна для безпосереднього використання в курсі географії 5–9 класів. </w:t>
      </w:r>
    </w:p>
    <w:p w14:paraId="7ED575CE"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Завершальним елементом моделі є система критеріїв, показників і рівнів сформованості географічних компетентностей учнів. Вона дає змогу оцінювати не лише обсяг засвоєних знань, а й мотивацію, практичну діяльність, аналітичні дії та рефлексію. Основними критеріями визначено мотиваційний, когнітивний, діяльнісний і рефлексивний. Мотиваційний критерій охоплює інтерес до географії, бажання виконувати дослідницькі завдання, пізнавальну активність і самостійність. Когнітивний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знання понять, розуміння причинно-наслідкових зв’язків, уміння аналізувати інформацію та пояснювати явища. Діяльнісний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уміння працювати з картою, збирати дані, порівнювати, узагальнювати, робити висновки та виконувати мінідослідження. Рефлексивний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здатність оцінювати власну діяльність, виправляти помилки, усвідомлювати результати й презентувати висновки. </w:t>
      </w:r>
    </w:p>
    <w:p w14:paraId="5E155E2A"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Для зручності використання цієї системи кожен критерій оцінюється за чотирма показниками, а кожен показник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за шкалою від 0 до 3 балів. Таким чином максимальна кількість балів за один критерій становить 12, а загальна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48. На цій основі визначено чотири рівні сформованості географічних компетентностей: високий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37–48 балів, достатній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25–36, середній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13–24, початковий </w:t>
      </w:r>
      <w:r>
        <w:rPr>
          <w:rFonts w:ascii="Times New Roman" w:hAnsi="Times New Roman" w:cs="Times New Roman"/>
          <w:sz w:val="28"/>
          <w:szCs w:val="28"/>
          <w:lang w:val="uk-UA"/>
        </w:rPr>
        <w:t>–</w:t>
      </w:r>
      <w:r w:rsidRPr="00D91C86">
        <w:rPr>
          <w:rFonts w:ascii="Times New Roman" w:hAnsi="Times New Roman" w:cs="Times New Roman"/>
          <w:sz w:val="28"/>
          <w:szCs w:val="28"/>
          <w:lang w:val="uk-UA"/>
        </w:rPr>
        <w:t xml:space="preserve"> 0–12. Високий рівень характеризується стійким інтересом до предмета, глибоким розумінням географічних закономірностей, умінням самостійно виконувати дослідження та аргументовано презентувати результати. Достатній рівень передбачає правильне виконання більшості дій за незначної допомоги. Середній рівень виявляється у фрагментарності знань і нестійкій самостійності. Початковий рівень характеризується слабкою мотивацією, низькою здатністю до аналізу й значною залежністю від зовнішнього керування. </w:t>
      </w:r>
    </w:p>
    <w:p w14:paraId="74CA54AF" w14:textId="77777777" w:rsidR="004D658F" w:rsidRPr="00D91C86" w:rsidRDefault="004D658F" w:rsidP="004D658F">
      <w:pPr>
        <w:spacing w:after="0" w:line="360" w:lineRule="auto"/>
        <w:ind w:firstLine="709"/>
        <w:jc w:val="both"/>
        <w:rPr>
          <w:rFonts w:ascii="Times New Roman" w:hAnsi="Times New Roman" w:cs="Times New Roman"/>
          <w:sz w:val="28"/>
          <w:szCs w:val="28"/>
          <w:lang w:val="uk-UA"/>
        </w:rPr>
      </w:pPr>
      <w:r w:rsidRPr="00D91C86">
        <w:rPr>
          <w:rFonts w:ascii="Times New Roman" w:hAnsi="Times New Roman" w:cs="Times New Roman"/>
          <w:sz w:val="28"/>
          <w:szCs w:val="28"/>
          <w:lang w:val="uk-UA"/>
        </w:rPr>
        <w:t xml:space="preserve">Діагностичний інструментарій цієї системи включає анкету для учнів, діагностичні завдання, карту педагогічного спостереження, чек-лист дослідницьких умінь і таблицю фіксації результатів. Така модель поєднує якісне педагогічне спостереження з кількісною інтерпретацією показників і дозволяє </w:t>
      </w:r>
      <w:r w:rsidRPr="00D91C86">
        <w:rPr>
          <w:rFonts w:ascii="Times New Roman" w:hAnsi="Times New Roman" w:cs="Times New Roman"/>
          <w:sz w:val="28"/>
          <w:szCs w:val="28"/>
          <w:lang w:val="uk-UA"/>
        </w:rPr>
        <w:lastRenderedPageBreak/>
        <w:t xml:space="preserve">будувати індивідуальні профілі сформованості компетентностей. Отже, критерії, показники та рівні сформованості географічних компетентностей репрезентують цілісну діагностичну систему, придатну для подальшого використання в шкільній практиці. </w:t>
      </w:r>
    </w:p>
    <w:p w14:paraId="118BDC84" w14:textId="5828C492" w:rsidR="004D658F" w:rsidRDefault="004D658F" w:rsidP="004D658F">
      <w:pPr>
        <w:spacing w:after="0" w:line="360" w:lineRule="auto"/>
        <w:jc w:val="center"/>
        <w:rPr>
          <w:rFonts w:ascii="Times New Roman" w:hAnsi="Times New Roman" w:cs="Times New Roman"/>
          <w:sz w:val="28"/>
          <w:szCs w:val="28"/>
          <w:lang w:val="uk-UA"/>
        </w:rPr>
      </w:pPr>
    </w:p>
    <w:p w14:paraId="2F0A00DD" w14:textId="2DCFE060" w:rsidR="004D658F" w:rsidRDefault="004D658F" w:rsidP="004D658F">
      <w:pPr>
        <w:spacing w:after="0" w:line="360" w:lineRule="auto"/>
        <w:jc w:val="center"/>
        <w:rPr>
          <w:rFonts w:ascii="Times New Roman" w:hAnsi="Times New Roman" w:cs="Times New Roman"/>
          <w:sz w:val="28"/>
          <w:szCs w:val="28"/>
          <w:lang w:val="uk-UA"/>
        </w:rPr>
      </w:pPr>
    </w:p>
    <w:p w14:paraId="1ADF7E4C" w14:textId="0AFCDEAA" w:rsidR="004D658F" w:rsidRDefault="004D658F" w:rsidP="004D658F">
      <w:pPr>
        <w:spacing w:after="0" w:line="360" w:lineRule="auto"/>
        <w:jc w:val="center"/>
        <w:rPr>
          <w:rFonts w:ascii="Times New Roman" w:hAnsi="Times New Roman" w:cs="Times New Roman"/>
          <w:sz w:val="28"/>
          <w:szCs w:val="28"/>
          <w:lang w:val="uk-UA"/>
        </w:rPr>
      </w:pPr>
    </w:p>
    <w:p w14:paraId="21F6C3F3" w14:textId="12C810DB" w:rsidR="004D658F" w:rsidRDefault="004D658F" w:rsidP="004D658F">
      <w:pPr>
        <w:spacing w:after="0" w:line="360" w:lineRule="auto"/>
        <w:jc w:val="center"/>
        <w:rPr>
          <w:rFonts w:ascii="Times New Roman" w:hAnsi="Times New Roman" w:cs="Times New Roman"/>
          <w:sz w:val="28"/>
          <w:szCs w:val="28"/>
          <w:lang w:val="uk-UA"/>
        </w:rPr>
      </w:pPr>
    </w:p>
    <w:p w14:paraId="203B514A" w14:textId="1EAA5269" w:rsidR="004D658F" w:rsidRDefault="004D658F" w:rsidP="004D658F">
      <w:pPr>
        <w:spacing w:after="0" w:line="360" w:lineRule="auto"/>
        <w:jc w:val="center"/>
        <w:rPr>
          <w:rFonts w:ascii="Times New Roman" w:hAnsi="Times New Roman" w:cs="Times New Roman"/>
          <w:sz w:val="28"/>
          <w:szCs w:val="28"/>
          <w:lang w:val="uk-UA"/>
        </w:rPr>
      </w:pPr>
    </w:p>
    <w:p w14:paraId="07284769" w14:textId="2F4842A4" w:rsidR="004D658F" w:rsidRDefault="004D658F" w:rsidP="004D658F">
      <w:pPr>
        <w:spacing w:after="0" w:line="360" w:lineRule="auto"/>
        <w:jc w:val="center"/>
        <w:rPr>
          <w:rFonts w:ascii="Times New Roman" w:hAnsi="Times New Roman" w:cs="Times New Roman"/>
          <w:sz w:val="28"/>
          <w:szCs w:val="28"/>
          <w:lang w:val="uk-UA"/>
        </w:rPr>
      </w:pPr>
    </w:p>
    <w:p w14:paraId="0231499A" w14:textId="37E13904" w:rsidR="004D658F" w:rsidRDefault="004D658F" w:rsidP="004D658F">
      <w:pPr>
        <w:spacing w:after="0" w:line="360" w:lineRule="auto"/>
        <w:jc w:val="center"/>
        <w:rPr>
          <w:rFonts w:ascii="Times New Roman" w:hAnsi="Times New Roman" w:cs="Times New Roman"/>
          <w:sz w:val="28"/>
          <w:szCs w:val="28"/>
          <w:lang w:val="uk-UA"/>
        </w:rPr>
      </w:pPr>
    </w:p>
    <w:p w14:paraId="56551E67" w14:textId="1A7C3EFF" w:rsidR="004D658F" w:rsidRDefault="004D658F" w:rsidP="004D658F">
      <w:pPr>
        <w:spacing w:after="0" w:line="360" w:lineRule="auto"/>
        <w:jc w:val="center"/>
        <w:rPr>
          <w:rFonts w:ascii="Times New Roman" w:hAnsi="Times New Roman" w:cs="Times New Roman"/>
          <w:sz w:val="28"/>
          <w:szCs w:val="28"/>
          <w:lang w:val="uk-UA"/>
        </w:rPr>
      </w:pPr>
    </w:p>
    <w:p w14:paraId="2B896D7E" w14:textId="523A3EBC" w:rsidR="004D658F" w:rsidRDefault="004D658F" w:rsidP="004D658F">
      <w:pPr>
        <w:spacing w:after="0" w:line="360" w:lineRule="auto"/>
        <w:jc w:val="center"/>
        <w:rPr>
          <w:rFonts w:ascii="Times New Roman" w:hAnsi="Times New Roman" w:cs="Times New Roman"/>
          <w:sz w:val="28"/>
          <w:szCs w:val="28"/>
          <w:lang w:val="uk-UA"/>
        </w:rPr>
      </w:pPr>
    </w:p>
    <w:p w14:paraId="1F858279" w14:textId="5FEB1D11" w:rsidR="004D658F" w:rsidRDefault="004D658F" w:rsidP="004D658F">
      <w:pPr>
        <w:spacing w:after="0" w:line="360" w:lineRule="auto"/>
        <w:jc w:val="center"/>
        <w:rPr>
          <w:rFonts w:ascii="Times New Roman" w:hAnsi="Times New Roman" w:cs="Times New Roman"/>
          <w:sz w:val="28"/>
          <w:szCs w:val="28"/>
          <w:lang w:val="uk-UA"/>
        </w:rPr>
      </w:pPr>
    </w:p>
    <w:p w14:paraId="59C70F75" w14:textId="44A8E620" w:rsidR="004D658F" w:rsidRDefault="004D658F" w:rsidP="004D658F">
      <w:pPr>
        <w:spacing w:after="0" w:line="360" w:lineRule="auto"/>
        <w:jc w:val="center"/>
        <w:rPr>
          <w:rFonts w:ascii="Times New Roman" w:hAnsi="Times New Roman" w:cs="Times New Roman"/>
          <w:sz w:val="28"/>
          <w:szCs w:val="28"/>
          <w:lang w:val="uk-UA"/>
        </w:rPr>
      </w:pPr>
    </w:p>
    <w:p w14:paraId="1E9145AD" w14:textId="462AAE7A" w:rsidR="004D658F" w:rsidRDefault="004D658F" w:rsidP="004D658F">
      <w:pPr>
        <w:spacing w:after="0" w:line="360" w:lineRule="auto"/>
        <w:jc w:val="center"/>
        <w:rPr>
          <w:rFonts w:ascii="Times New Roman" w:hAnsi="Times New Roman" w:cs="Times New Roman"/>
          <w:sz w:val="28"/>
          <w:szCs w:val="28"/>
          <w:lang w:val="uk-UA"/>
        </w:rPr>
      </w:pPr>
    </w:p>
    <w:p w14:paraId="6E7453BC" w14:textId="7FBD5631" w:rsidR="004D658F" w:rsidRDefault="004D658F" w:rsidP="004D658F">
      <w:pPr>
        <w:spacing w:after="0" w:line="360" w:lineRule="auto"/>
        <w:jc w:val="center"/>
        <w:rPr>
          <w:rFonts w:ascii="Times New Roman" w:hAnsi="Times New Roman" w:cs="Times New Roman"/>
          <w:sz w:val="28"/>
          <w:szCs w:val="28"/>
          <w:lang w:val="uk-UA"/>
        </w:rPr>
      </w:pPr>
    </w:p>
    <w:p w14:paraId="1DA0A298" w14:textId="368A6062" w:rsidR="004D658F" w:rsidRDefault="004D658F" w:rsidP="004D658F">
      <w:pPr>
        <w:spacing w:after="0" w:line="360" w:lineRule="auto"/>
        <w:jc w:val="center"/>
        <w:rPr>
          <w:rFonts w:ascii="Times New Roman" w:hAnsi="Times New Roman" w:cs="Times New Roman"/>
          <w:sz w:val="28"/>
          <w:szCs w:val="28"/>
          <w:lang w:val="uk-UA"/>
        </w:rPr>
      </w:pPr>
    </w:p>
    <w:p w14:paraId="75A06E28" w14:textId="26AEFD94" w:rsidR="004D658F" w:rsidRDefault="004D658F" w:rsidP="004D658F">
      <w:pPr>
        <w:spacing w:after="0" w:line="360" w:lineRule="auto"/>
        <w:jc w:val="center"/>
        <w:rPr>
          <w:rFonts w:ascii="Times New Roman" w:hAnsi="Times New Roman" w:cs="Times New Roman"/>
          <w:sz w:val="28"/>
          <w:szCs w:val="28"/>
          <w:lang w:val="uk-UA"/>
        </w:rPr>
      </w:pPr>
    </w:p>
    <w:p w14:paraId="2242D2C9" w14:textId="789D2F73" w:rsidR="004D658F" w:rsidRDefault="004D658F" w:rsidP="004D658F">
      <w:pPr>
        <w:spacing w:after="0" w:line="360" w:lineRule="auto"/>
        <w:jc w:val="center"/>
        <w:rPr>
          <w:rFonts w:ascii="Times New Roman" w:hAnsi="Times New Roman" w:cs="Times New Roman"/>
          <w:sz w:val="28"/>
          <w:szCs w:val="28"/>
          <w:lang w:val="uk-UA"/>
        </w:rPr>
      </w:pPr>
    </w:p>
    <w:p w14:paraId="41324517" w14:textId="40915600" w:rsidR="004D658F" w:rsidRDefault="004D658F" w:rsidP="004D658F">
      <w:pPr>
        <w:spacing w:after="0" w:line="360" w:lineRule="auto"/>
        <w:jc w:val="center"/>
        <w:rPr>
          <w:rFonts w:ascii="Times New Roman" w:hAnsi="Times New Roman" w:cs="Times New Roman"/>
          <w:sz w:val="28"/>
          <w:szCs w:val="28"/>
          <w:lang w:val="uk-UA"/>
        </w:rPr>
      </w:pPr>
    </w:p>
    <w:p w14:paraId="229D2541" w14:textId="01AAEDA2" w:rsidR="004D658F" w:rsidRDefault="004D658F" w:rsidP="004D658F">
      <w:pPr>
        <w:spacing w:after="0" w:line="360" w:lineRule="auto"/>
        <w:jc w:val="center"/>
        <w:rPr>
          <w:rFonts w:ascii="Times New Roman" w:hAnsi="Times New Roman" w:cs="Times New Roman"/>
          <w:sz w:val="28"/>
          <w:szCs w:val="28"/>
          <w:lang w:val="uk-UA"/>
        </w:rPr>
      </w:pPr>
    </w:p>
    <w:p w14:paraId="156B0A1D" w14:textId="466FBF19" w:rsidR="004D658F" w:rsidRDefault="004D658F" w:rsidP="004D658F">
      <w:pPr>
        <w:spacing w:after="0" w:line="360" w:lineRule="auto"/>
        <w:jc w:val="center"/>
        <w:rPr>
          <w:rFonts w:ascii="Times New Roman" w:hAnsi="Times New Roman" w:cs="Times New Roman"/>
          <w:sz w:val="28"/>
          <w:szCs w:val="28"/>
          <w:lang w:val="uk-UA"/>
        </w:rPr>
      </w:pPr>
    </w:p>
    <w:p w14:paraId="4802F447" w14:textId="34622B99" w:rsidR="004D658F" w:rsidRDefault="004D658F" w:rsidP="004D658F">
      <w:pPr>
        <w:spacing w:after="0" w:line="360" w:lineRule="auto"/>
        <w:jc w:val="center"/>
        <w:rPr>
          <w:rFonts w:ascii="Times New Roman" w:hAnsi="Times New Roman" w:cs="Times New Roman"/>
          <w:sz w:val="28"/>
          <w:szCs w:val="28"/>
          <w:lang w:val="uk-UA"/>
        </w:rPr>
      </w:pPr>
    </w:p>
    <w:p w14:paraId="352F6453" w14:textId="76289286" w:rsidR="004D658F" w:rsidRDefault="004D658F" w:rsidP="004D658F">
      <w:pPr>
        <w:spacing w:after="0" w:line="360" w:lineRule="auto"/>
        <w:jc w:val="center"/>
        <w:rPr>
          <w:rFonts w:ascii="Times New Roman" w:hAnsi="Times New Roman" w:cs="Times New Roman"/>
          <w:sz w:val="28"/>
          <w:szCs w:val="28"/>
          <w:lang w:val="uk-UA"/>
        </w:rPr>
      </w:pPr>
    </w:p>
    <w:p w14:paraId="0D8A1EBC" w14:textId="06C9D61C" w:rsidR="004D658F" w:rsidRDefault="004D658F" w:rsidP="004D658F">
      <w:pPr>
        <w:spacing w:after="0" w:line="360" w:lineRule="auto"/>
        <w:jc w:val="center"/>
        <w:rPr>
          <w:rFonts w:ascii="Times New Roman" w:hAnsi="Times New Roman" w:cs="Times New Roman"/>
          <w:sz w:val="28"/>
          <w:szCs w:val="28"/>
          <w:lang w:val="uk-UA"/>
        </w:rPr>
      </w:pPr>
    </w:p>
    <w:p w14:paraId="0827B26A" w14:textId="75F42F7F" w:rsidR="004D658F" w:rsidRDefault="004D658F" w:rsidP="004D658F">
      <w:pPr>
        <w:spacing w:after="0" w:line="360" w:lineRule="auto"/>
        <w:jc w:val="center"/>
        <w:rPr>
          <w:rFonts w:ascii="Times New Roman" w:hAnsi="Times New Roman" w:cs="Times New Roman"/>
          <w:sz w:val="28"/>
          <w:szCs w:val="28"/>
          <w:lang w:val="uk-UA"/>
        </w:rPr>
      </w:pPr>
    </w:p>
    <w:p w14:paraId="33CF14AC" w14:textId="2A58D5F0" w:rsidR="004D658F" w:rsidRDefault="004D658F" w:rsidP="004D658F">
      <w:pPr>
        <w:spacing w:after="0" w:line="360" w:lineRule="auto"/>
        <w:jc w:val="center"/>
        <w:rPr>
          <w:rFonts w:ascii="Times New Roman" w:hAnsi="Times New Roman" w:cs="Times New Roman"/>
          <w:sz w:val="28"/>
          <w:szCs w:val="28"/>
          <w:lang w:val="uk-UA"/>
        </w:rPr>
      </w:pPr>
    </w:p>
    <w:p w14:paraId="2D142EA8" w14:textId="7A4EAE08" w:rsidR="004D658F" w:rsidRDefault="004D658F" w:rsidP="004D658F">
      <w:pPr>
        <w:spacing w:after="0" w:line="360" w:lineRule="auto"/>
        <w:jc w:val="center"/>
        <w:rPr>
          <w:rFonts w:ascii="Times New Roman" w:hAnsi="Times New Roman" w:cs="Times New Roman"/>
          <w:sz w:val="28"/>
          <w:szCs w:val="28"/>
          <w:lang w:val="uk-UA"/>
        </w:rPr>
      </w:pPr>
    </w:p>
    <w:p w14:paraId="3777624A" w14:textId="77777777" w:rsidR="004D658F" w:rsidRDefault="004D658F" w:rsidP="004D658F">
      <w:pPr>
        <w:spacing w:after="0" w:line="360" w:lineRule="auto"/>
        <w:jc w:val="center"/>
        <w:rPr>
          <w:rFonts w:ascii="Times New Roman" w:hAnsi="Times New Roman" w:cs="Times New Roman"/>
          <w:sz w:val="28"/>
          <w:szCs w:val="28"/>
          <w:lang w:val="uk-UA"/>
        </w:rPr>
      </w:pPr>
    </w:p>
    <w:p w14:paraId="1E11B2F6" w14:textId="77777777" w:rsidR="004D658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14:paraId="280B55AB" w14:textId="77777777" w:rsidR="004D658F" w:rsidRDefault="004D658F" w:rsidP="004D658F">
      <w:pPr>
        <w:spacing w:after="0" w:line="360" w:lineRule="auto"/>
        <w:rPr>
          <w:rFonts w:ascii="Times New Roman" w:hAnsi="Times New Roman" w:cs="Times New Roman"/>
          <w:b/>
          <w:bCs/>
          <w:sz w:val="28"/>
          <w:szCs w:val="28"/>
          <w:lang w:val="uk-UA"/>
        </w:rPr>
      </w:pPr>
    </w:p>
    <w:p w14:paraId="55E253D7"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У кваліфікаційній роботі здійснено комплексне теоретико-методичне та практичне дослідження проблеми реалізації дослідницького підходу у формуванні географічних компетентностей учнів основної школи, що дало змогу отримати такі узагальнені результати.</w:t>
      </w:r>
    </w:p>
    <w:p w14:paraId="66B74D53"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У процесі виконання першого завдання з’ясовано сутність дослідницького підходу в педагогіці. Встановлено, що він є не окремим методом навчання, а цілісною дидактичною стратегією, яка забезпечує перехід від репродуктивного засвоєння знань до діяльнісного, рефлексивного та доказового їх опрацювання. Дослідницький підхід сприяє формуванню ключових і предметних компетентностей, оскільки організовує навчання як процес постановки проблеми, висування гіпотез, аналізу даних та формулювання обґрунтованих висновків .</w:t>
      </w:r>
    </w:p>
    <w:p w14:paraId="211E4A69"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Відповідно до другого завдання проаналізовано нормативно-правові та програмно-методичні засади формування географічних компетентностей. Доведено, що сучасна географічна освіта в Україні базується на компетентнісній моделі, закріпленій у законодавстві та Державному стандарті базової середньої освіти. Географія розглядається як інтегративний навчальний предмет, що забезпечує формування природничо-наукової, громадянської, інформаційної та екологічної компетентностей, а дослідницький підхід виступає одним із ключових механізмів досягнення цих результатів .</w:t>
      </w:r>
    </w:p>
    <w:p w14:paraId="22196F25"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 xml:space="preserve">У межах третього завдання досліджено зарубіжний та історичний досвід розвитку дослідницького навчання. Встановлено, що ідеї </w:t>
      </w:r>
      <w:r w:rsidRPr="006F194F">
        <w:rPr>
          <w:rFonts w:ascii="Times New Roman" w:hAnsi="Times New Roman" w:cs="Times New Roman"/>
          <w:i/>
          <w:iCs/>
          <w:sz w:val="28"/>
          <w:szCs w:val="28"/>
          <w:lang w:val="uk-UA"/>
        </w:rPr>
        <w:t>inquiry-based learning</w:t>
      </w:r>
      <w:r w:rsidRPr="006F194F">
        <w:rPr>
          <w:rFonts w:ascii="Times New Roman" w:hAnsi="Times New Roman" w:cs="Times New Roman"/>
          <w:sz w:val="28"/>
          <w:szCs w:val="28"/>
          <w:lang w:val="uk-UA"/>
        </w:rPr>
        <w:t>, започатковані в працях Дж. Дьюї та розвинуті в сучасній педагогіці, підтверджують ефективність дослідницького підходу за умови педагогічного супроводу (</w:t>
      </w:r>
      <w:r w:rsidRPr="006F194F">
        <w:rPr>
          <w:rFonts w:ascii="Times New Roman" w:hAnsi="Times New Roman" w:cs="Times New Roman"/>
          <w:i/>
          <w:iCs/>
          <w:sz w:val="28"/>
          <w:szCs w:val="28"/>
          <w:lang w:val="uk-UA"/>
        </w:rPr>
        <w:t>scaffolding</w:t>
      </w:r>
      <w:r w:rsidRPr="006F194F">
        <w:rPr>
          <w:rFonts w:ascii="Times New Roman" w:hAnsi="Times New Roman" w:cs="Times New Roman"/>
          <w:sz w:val="28"/>
          <w:szCs w:val="28"/>
          <w:lang w:val="uk-UA"/>
        </w:rPr>
        <w:t>)</w:t>
      </w:r>
      <w:r>
        <w:rPr>
          <w:rFonts w:ascii="Times New Roman" w:hAnsi="Times New Roman" w:cs="Times New Roman"/>
          <w:sz w:val="28"/>
          <w:szCs w:val="28"/>
          <w:lang w:val="uk-UA"/>
        </w:rPr>
        <w:t xml:space="preserve">, що </w:t>
      </w:r>
      <w:r w:rsidRPr="006F194F">
        <w:rPr>
          <w:rFonts w:ascii="Times New Roman" w:hAnsi="Times New Roman" w:cs="Times New Roman"/>
          <w:sz w:val="28"/>
          <w:szCs w:val="28"/>
          <w:lang w:val="uk-UA"/>
        </w:rPr>
        <w:t>дозволяє забезпечити баланс між самостійністю учнів і методичною підтримкою, що є особливо важливим для базової школи .</w:t>
      </w:r>
    </w:p>
    <w:p w14:paraId="44C99F7B"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 xml:space="preserve">У процесі реалізації четвертого завдання досліджено рівень сформованості географічних компетентностей учнів основної школи. Виявлено, що більшість </w:t>
      </w:r>
      <w:r w:rsidRPr="006F194F">
        <w:rPr>
          <w:rFonts w:ascii="Times New Roman" w:hAnsi="Times New Roman" w:cs="Times New Roman"/>
          <w:sz w:val="28"/>
          <w:szCs w:val="28"/>
          <w:lang w:val="uk-UA"/>
        </w:rPr>
        <w:lastRenderedPageBreak/>
        <w:t>учнів демонструють достатній рівень знаннєвого компонента, проте мають недостатньо сформовані практичні, дослідницькі та інформаційно-пошукові вміння. Основною проблемою є слабка здатність застосовувати географічні знання у реальних життєвих ситуаціях, що підтверджує необхідність впровадження діяльнісних підходів у навчанні .</w:t>
      </w:r>
    </w:p>
    <w:p w14:paraId="05F7FEA4"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Відповідно до п’ятого завдання проаналізовано освітнє середовище та ресурсне забезпечення. З’ясовано, що ефективна реалізація дослідницького підходу можлива лише за наявності комплексного освітнього середовища, яке включає матеріально-технічні, інформаційно-цифрові, методичні та соціально-комунікативні ресурси. Освітнє середовище повинно бути відкритим, варіативним і орієнтованим на активну пізнавальну діяльність учнів .</w:t>
      </w:r>
    </w:p>
    <w:p w14:paraId="15F07B99"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У межах шостого завдання встановлено педагогічні умови та чинники ефективності формування географічних компетентностей. Доведено, що ключовими з них є: організація проблемного навчання, використання дослідницьких завдань різного рівня складності, поєднання урочної та позаурочної діяльності, застосування цифрових ресурсів, а також високий рівень дослідницької компетентності вчителя.</w:t>
      </w:r>
    </w:p>
    <w:p w14:paraId="45C261E4"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Виконуючи сьоме завдання, розроблено модель формування географічних компетентностей учнів засобами дослідницької діяльності. Модель має цільовий, змістовий, процесуальний, діяльнісний та діагностично-результативний блоки та забезпечує поетапний перехід учнів від спостереження до аналізу й інтерпретації географічних явищ. Її апробація засвідчила підвищення пізнавальної активності учнів і покращення якості засвоєння навчального матеріалу .</w:t>
      </w:r>
    </w:p>
    <w:p w14:paraId="4D324257"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У межах восьмого завдання розкрито методичний інструментарій реалізації дослідницького підходу. Визначено, що його ефективність забезпечується дотриманням принципів вікововідповідності, практичної спрямованості, доступності, системності та компетентнісної орієнтації. Запропоновано систему форм і методів (урок-дослідження, практична робота, мініпроєкт, навчальна екскурсія, групова та індивідуальна діяльність), які забезпечують формування дослідницьких умінь у курсі географії 5</w:t>
      </w:r>
      <w:r>
        <w:rPr>
          <w:rFonts w:ascii="Times New Roman" w:hAnsi="Times New Roman" w:cs="Times New Roman"/>
          <w:sz w:val="28"/>
          <w:szCs w:val="28"/>
          <w:lang w:val="uk-UA"/>
        </w:rPr>
        <w:t>-</w:t>
      </w:r>
      <w:r w:rsidRPr="006F194F">
        <w:rPr>
          <w:rFonts w:ascii="Times New Roman" w:hAnsi="Times New Roman" w:cs="Times New Roman"/>
          <w:sz w:val="28"/>
          <w:szCs w:val="28"/>
          <w:lang w:val="uk-UA"/>
        </w:rPr>
        <w:t>9 класів .</w:t>
      </w:r>
    </w:p>
    <w:p w14:paraId="1C27EDA2"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6F194F">
        <w:rPr>
          <w:rFonts w:ascii="Times New Roman" w:hAnsi="Times New Roman" w:cs="Times New Roman"/>
          <w:sz w:val="28"/>
          <w:szCs w:val="28"/>
          <w:lang w:val="uk-UA"/>
        </w:rPr>
        <w:t>бґрунтовано критерії, показники та рівні сформованості географічних компетентностей. Встановлено, що оцінювання повинно бути багатокомпонентним і включати змістовий, діяльнісний, мисленнєвий, ціннісний та прикладний критерії. Виділено три рівні сформованості (низький, середній, високий), що відображають ступінь готовності учнів до самостійного географічного мислення і діяльності.</w:t>
      </w:r>
    </w:p>
    <w:p w14:paraId="42D41427"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Загалом результати дослідження підтвердили, що впровадження дослідницького підходу в навчанні географії є ефективним засобом формування географічних компетентностей учнів основної школи. Він забезпечує перехід від знаннєвої до діяльнісної моделі навчання, сприяє розвитку критичного мислення, пізнавальної активності, просторового аналізу та здатності застосовувати знання у практичних ситуаціях.</w:t>
      </w:r>
    </w:p>
    <w:p w14:paraId="5D15EDC3" w14:textId="77777777" w:rsidR="004D658F" w:rsidRPr="006F194F" w:rsidRDefault="004D658F" w:rsidP="004D658F">
      <w:pPr>
        <w:spacing w:after="0" w:line="360" w:lineRule="auto"/>
        <w:ind w:firstLine="709"/>
        <w:jc w:val="both"/>
        <w:rPr>
          <w:rFonts w:ascii="Times New Roman" w:hAnsi="Times New Roman" w:cs="Times New Roman"/>
          <w:sz w:val="28"/>
          <w:szCs w:val="28"/>
          <w:lang w:val="uk-UA"/>
        </w:rPr>
      </w:pPr>
      <w:r w:rsidRPr="006F194F">
        <w:rPr>
          <w:rFonts w:ascii="Times New Roman" w:hAnsi="Times New Roman" w:cs="Times New Roman"/>
          <w:sz w:val="28"/>
          <w:szCs w:val="28"/>
          <w:lang w:val="uk-UA"/>
        </w:rPr>
        <w:t>Отже, поставлену мету роботи досягнуто, а визначені завдання виконано. Практична цінність дослідження полягає в можливості використання розробленої моделі та методичного інструментарію у професійній діяльності вчителів географії, що сприятиме підвищенню якості географічної освіти в умовах реалізації концепції Нової української школи.</w:t>
      </w:r>
    </w:p>
    <w:p w14:paraId="0B2FDCBE" w14:textId="40A82356" w:rsidR="004D658F" w:rsidRDefault="004D658F" w:rsidP="004D658F">
      <w:pPr>
        <w:spacing w:after="0" w:line="360" w:lineRule="auto"/>
        <w:jc w:val="center"/>
        <w:rPr>
          <w:rFonts w:ascii="Times New Roman" w:hAnsi="Times New Roman" w:cs="Times New Roman"/>
          <w:sz w:val="28"/>
          <w:szCs w:val="28"/>
          <w:lang w:val="uk-UA"/>
        </w:rPr>
      </w:pPr>
    </w:p>
    <w:p w14:paraId="0D6069BF" w14:textId="7A02949C" w:rsidR="004D658F" w:rsidRDefault="004D658F" w:rsidP="004D658F">
      <w:pPr>
        <w:spacing w:after="0" w:line="360" w:lineRule="auto"/>
        <w:jc w:val="center"/>
        <w:rPr>
          <w:rFonts w:ascii="Times New Roman" w:hAnsi="Times New Roman" w:cs="Times New Roman"/>
          <w:sz w:val="28"/>
          <w:szCs w:val="28"/>
          <w:lang w:val="uk-UA"/>
        </w:rPr>
      </w:pPr>
    </w:p>
    <w:p w14:paraId="500C1BCF" w14:textId="7B93A6D8" w:rsidR="004D658F" w:rsidRDefault="004D658F" w:rsidP="004D658F">
      <w:pPr>
        <w:spacing w:after="0" w:line="360" w:lineRule="auto"/>
        <w:jc w:val="center"/>
        <w:rPr>
          <w:rFonts w:ascii="Times New Roman" w:hAnsi="Times New Roman" w:cs="Times New Roman"/>
          <w:sz w:val="28"/>
          <w:szCs w:val="28"/>
          <w:lang w:val="uk-UA"/>
        </w:rPr>
      </w:pPr>
    </w:p>
    <w:p w14:paraId="6A7493B8" w14:textId="1553DF60" w:rsidR="004D658F" w:rsidRDefault="004D658F" w:rsidP="004D658F">
      <w:pPr>
        <w:spacing w:after="0" w:line="360" w:lineRule="auto"/>
        <w:jc w:val="center"/>
        <w:rPr>
          <w:rFonts w:ascii="Times New Roman" w:hAnsi="Times New Roman" w:cs="Times New Roman"/>
          <w:sz w:val="28"/>
          <w:szCs w:val="28"/>
          <w:lang w:val="uk-UA"/>
        </w:rPr>
      </w:pPr>
    </w:p>
    <w:p w14:paraId="4DAD1E12" w14:textId="05677B39" w:rsidR="004D658F" w:rsidRDefault="004D658F" w:rsidP="004D658F">
      <w:pPr>
        <w:spacing w:after="0" w:line="360" w:lineRule="auto"/>
        <w:jc w:val="center"/>
        <w:rPr>
          <w:rFonts w:ascii="Times New Roman" w:hAnsi="Times New Roman" w:cs="Times New Roman"/>
          <w:sz w:val="28"/>
          <w:szCs w:val="28"/>
          <w:lang w:val="uk-UA"/>
        </w:rPr>
      </w:pPr>
    </w:p>
    <w:p w14:paraId="6DEEF5A6" w14:textId="0352C723" w:rsidR="004D658F" w:rsidRDefault="004D658F" w:rsidP="004D658F">
      <w:pPr>
        <w:spacing w:after="0" w:line="360" w:lineRule="auto"/>
        <w:jc w:val="center"/>
        <w:rPr>
          <w:rFonts w:ascii="Times New Roman" w:hAnsi="Times New Roman" w:cs="Times New Roman"/>
          <w:sz w:val="28"/>
          <w:szCs w:val="28"/>
          <w:lang w:val="uk-UA"/>
        </w:rPr>
      </w:pPr>
    </w:p>
    <w:p w14:paraId="19AE3780" w14:textId="4B93DC4E" w:rsidR="004D658F" w:rsidRDefault="004D658F" w:rsidP="004D658F">
      <w:pPr>
        <w:spacing w:after="0" w:line="360" w:lineRule="auto"/>
        <w:jc w:val="center"/>
        <w:rPr>
          <w:rFonts w:ascii="Times New Roman" w:hAnsi="Times New Roman" w:cs="Times New Roman"/>
          <w:sz w:val="28"/>
          <w:szCs w:val="28"/>
          <w:lang w:val="uk-UA"/>
        </w:rPr>
      </w:pPr>
    </w:p>
    <w:p w14:paraId="02776CAA" w14:textId="3A905E72" w:rsidR="004D658F" w:rsidRDefault="004D658F" w:rsidP="004D658F">
      <w:pPr>
        <w:spacing w:after="0" w:line="360" w:lineRule="auto"/>
        <w:jc w:val="center"/>
        <w:rPr>
          <w:rFonts w:ascii="Times New Roman" w:hAnsi="Times New Roman" w:cs="Times New Roman"/>
          <w:sz w:val="28"/>
          <w:szCs w:val="28"/>
          <w:lang w:val="uk-UA"/>
        </w:rPr>
      </w:pPr>
    </w:p>
    <w:p w14:paraId="4F840718" w14:textId="1710FFBC" w:rsidR="004D658F" w:rsidRDefault="004D658F" w:rsidP="004D658F">
      <w:pPr>
        <w:spacing w:after="0" w:line="360" w:lineRule="auto"/>
        <w:jc w:val="center"/>
        <w:rPr>
          <w:rFonts w:ascii="Times New Roman" w:hAnsi="Times New Roman" w:cs="Times New Roman"/>
          <w:sz w:val="28"/>
          <w:szCs w:val="28"/>
          <w:lang w:val="uk-UA"/>
        </w:rPr>
      </w:pPr>
    </w:p>
    <w:p w14:paraId="022F84E0" w14:textId="740933FA" w:rsidR="004D658F" w:rsidRDefault="004D658F" w:rsidP="004D658F">
      <w:pPr>
        <w:spacing w:after="0" w:line="360" w:lineRule="auto"/>
        <w:jc w:val="center"/>
        <w:rPr>
          <w:rFonts w:ascii="Times New Roman" w:hAnsi="Times New Roman" w:cs="Times New Roman"/>
          <w:sz w:val="28"/>
          <w:szCs w:val="28"/>
          <w:lang w:val="uk-UA"/>
        </w:rPr>
      </w:pPr>
    </w:p>
    <w:p w14:paraId="201BFD47" w14:textId="6CD05625" w:rsidR="004D658F" w:rsidRDefault="004D658F" w:rsidP="004D658F">
      <w:pPr>
        <w:spacing w:after="0" w:line="360" w:lineRule="auto"/>
        <w:jc w:val="center"/>
        <w:rPr>
          <w:rFonts w:ascii="Times New Roman" w:hAnsi="Times New Roman" w:cs="Times New Roman"/>
          <w:sz w:val="28"/>
          <w:szCs w:val="28"/>
          <w:lang w:val="uk-UA"/>
        </w:rPr>
      </w:pPr>
    </w:p>
    <w:p w14:paraId="0F85C2FA" w14:textId="1995BC47" w:rsidR="004D658F" w:rsidRDefault="004D658F" w:rsidP="004D658F">
      <w:pPr>
        <w:spacing w:after="0" w:line="360" w:lineRule="auto"/>
        <w:jc w:val="center"/>
        <w:rPr>
          <w:rFonts w:ascii="Times New Roman" w:hAnsi="Times New Roman" w:cs="Times New Roman"/>
          <w:sz w:val="28"/>
          <w:szCs w:val="28"/>
          <w:lang w:val="uk-UA"/>
        </w:rPr>
      </w:pPr>
    </w:p>
    <w:p w14:paraId="20649FE6" w14:textId="77777777" w:rsidR="004D658F" w:rsidRDefault="004D658F" w:rsidP="004D658F">
      <w:pPr>
        <w:spacing w:after="0" w:line="360" w:lineRule="auto"/>
        <w:jc w:val="center"/>
        <w:rPr>
          <w:rFonts w:ascii="Times New Roman" w:hAnsi="Times New Roman" w:cs="Times New Roman"/>
          <w:sz w:val="28"/>
          <w:szCs w:val="28"/>
          <w:lang w:val="uk-UA"/>
        </w:rPr>
      </w:pPr>
    </w:p>
    <w:p w14:paraId="47937B05" w14:textId="77777777" w:rsidR="004D658F" w:rsidRDefault="004D658F" w:rsidP="004D658F">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14:paraId="7FE34D39" w14:textId="77777777" w:rsidR="004D658F" w:rsidRPr="003D4875" w:rsidRDefault="004D658F" w:rsidP="004D658F">
      <w:pPr>
        <w:spacing w:after="0" w:line="360" w:lineRule="auto"/>
        <w:jc w:val="both"/>
        <w:rPr>
          <w:lang w:val="uk-UA"/>
        </w:rPr>
      </w:pPr>
    </w:p>
    <w:p w14:paraId="4E167ED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1992 International Charter on Geographical Education. </w:t>
      </w:r>
      <w:r w:rsidRPr="003D4875">
        <w:rPr>
          <w:rFonts w:ascii="Times New Roman" w:hAnsi="Times New Roman" w:cs="Times New Roman"/>
          <w:sz w:val="28"/>
          <w:szCs w:val="28"/>
          <w:lang w:val="en-US"/>
        </w:rPr>
        <w:t>IGU</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CGE</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10"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igu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cge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publications</w:t>
        </w:r>
        <w:r w:rsidRPr="003D4875">
          <w:rPr>
            <w:rStyle w:val="a9"/>
            <w:rFonts w:ascii="Times New Roman" w:hAnsi="Times New Roman" w:cs="Times New Roman"/>
            <w:sz w:val="28"/>
            <w:szCs w:val="28"/>
            <w:lang w:val="uk-UA"/>
          </w:rPr>
          <w:t>/1992-</w:t>
        </w:r>
        <w:r w:rsidRPr="003D4875">
          <w:rPr>
            <w:rStyle w:val="a9"/>
            <w:rFonts w:ascii="Times New Roman" w:hAnsi="Times New Roman" w:cs="Times New Roman"/>
            <w:sz w:val="28"/>
            <w:szCs w:val="28"/>
            <w:lang w:val="en-US"/>
          </w:rPr>
          <w:t>charter</w:t>
        </w:r>
        <w:r w:rsidRPr="003D4875">
          <w:rPr>
            <w:rStyle w:val="a9"/>
            <w:rFonts w:ascii="Times New Roman" w:hAnsi="Times New Roman" w:cs="Times New Roman"/>
            <w:sz w:val="28"/>
            <w:szCs w:val="28"/>
            <w:lang w:val="uk-UA"/>
          </w:rPr>
          <w:t>/</w:t>
        </w:r>
      </w:hyperlink>
      <w:r w:rsidRPr="003D4875">
        <w:rPr>
          <w:rFonts w:ascii="Times New Roman" w:hAnsi="Times New Roman" w:cs="Times New Roman"/>
          <w:sz w:val="28"/>
          <w:szCs w:val="28"/>
          <w:lang w:val="uk-UA"/>
        </w:rPr>
        <w:t xml:space="preserve"> (дата звернення: 24.03.2026)</w:t>
      </w:r>
    </w:p>
    <w:p w14:paraId="500BDC2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2016 International Charter on Geographical Education. </w:t>
      </w:r>
      <w:r w:rsidRPr="003D4875">
        <w:rPr>
          <w:rFonts w:ascii="Times New Roman" w:hAnsi="Times New Roman" w:cs="Times New Roman"/>
          <w:sz w:val="28"/>
          <w:szCs w:val="28"/>
          <w:lang w:val="en-US"/>
        </w:rPr>
        <w:t>IGU</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CGE</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1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igu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cge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publications</w:t>
        </w:r>
        <w:r w:rsidRPr="003D4875">
          <w:rPr>
            <w:rStyle w:val="a9"/>
            <w:rFonts w:ascii="Times New Roman" w:hAnsi="Times New Roman" w:cs="Times New Roman"/>
            <w:sz w:val="28"/>
            <w:szCs w:val="28"/>
            <w:lang w:val="uk-UA"/>
          </w:rPr>
          <w:t>/2016-</w:t>
        </w:r>
        <w:r w:rsidRPr="003D4875">
          <w:rPr>
            <w:rStyle w:val="a9"/>
            <w:rFonts w:ascii="Times New Roman" w:hAnsi="Times New Roman" w:cs="Times New Roman"/>
            <w:sz w:val="28"/>
            <w:szCs w:val="28"/>
            <w:lang w:val="en-US"/>
          </w:rPr>
          <w:t>charter</w:t>
        </w:r>
        <w:r w:rsidRPr="003D4875">
          <w:rPr>
            <w:rStyle w:val="a9"/>
            <w:rFonts w:ascii="Times New Roman" w:hAnsi="Times New Roman" w:cs="Times New Roman"/>
            <w:sz w:val="28"/>
            <w:szCs w:val="28"/>
            <w:lang w:val="uk-UA"/>
          </w:rPr>
          <w:t>/</w:t>
        </w:r>
      </w:hyperlink>
      <w:r w:rsidRPr="003D4875">
        <w:rPr>
          <w:rFonts w:ascii="Times New Roman" w:hAnsi="Times New Roman" w:cs="Times New Roman"/>
          <w:sz w:val="28"/>
          <w:szCs w:val="28"/>
          <w:lang w:val="uk-UA"/>
        </w:rPr>
        <w:t xml:space="preserve"> (дата звернення: 24.03.2026)</w:t>
      </w:r>
    </w:p>
    <w:p w14:paraId="720AE31E"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Assessment in geographical education: an international perspective / eds. T. Bourke, R. Mills, R. Lane. Cham: Springer, 2022. </w:t>
      </w:r>
      <w:r w:rsidRPr="003D4875">
        <w:rPr>
          <w:rFonts w:ascii="Times New Roman" w:hAnsi="Times New Roman" w:cs="Times New Roman"/>
          <w:sz w:val="28"/>
          <w:szCs w:val="28"/>
          <w:lang w:val="en-US"/>
        </w:rPr>
        <w:t xml:space="preserve">URL: </w:t>
      </w:r>
      <w:hyperlink r:id="rId12" w:anchor="accessibility-information" w:history="1">
        <w:r w:rsidRPr="003D4875">
          <w:rPr>
            <w:rStyle w:val="a9"/>
            <w:rFonts w:ascii="Times New Roman" w:hAnsi="Times New Roman" w:cs="Times New Roman"/>
            <w:sz w:val="28"/>
            <w:szCs w:val="28"/>
            <w:lang w:val="en-US"/>
          </w:rPr>
          <w:t>https://link.springer.com/book/10.1007/978-3-030-95139-9#accessibility-information</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lang w:val="en-US"/>
        </w:rPr>
        <w:t>)</w:t>
      </w:r>
    </w:p>
    <w:p w14:paraId="26B7F341"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Attard C., Berger N., Mackenzie E. The positive influence of inquiry-based learning teacher professional learning and industry partnerships on student engagement with STEM // Frontiers in Education. 2021. Vol. 6.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frontiersin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journals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articles</w:t>
        </w:r>
        <w:r w:rsidRPr="003D4875">
          <w:rPr>
            <w:rStyle w:val="a9"/>
            <w:rFonts w:ascii="Times New Roman" w:hAnsi="Times New Roman" w:cs="Times New Roman"/>
            <w:sz w:val="28"/>
            <w:szCs w:val="28"/>
          </w:rPr>
          <w:t>/10.3389/</w:t>
        </w:r>
        <w:r w:rsidRPr="003D4875">
          <w:rPr>
            <w:rStyle w:val="a9"/>
            <w:rFonts w:ascii="Times New Roman" w:hAnsi="Times New Roman" w:cs="Times New Roman"/>
            <w:sz w:val="28"/>
            <w:szCs w:val="28"/>
            <w:lang w:val="en-US"/>
          </w:rPr>
          <w:t>feduc</w:t>
        </w:r>
        <w:r w:rsidRPr="003D4875">
          <w:rPr>
            <w:rStyle w:val="a9"/>
            <w:rFonts w:ascii="Times New Roman" w:hAnsi="Times New Roman" w:cs="Times New Roman"/>
            <w:sz w:val="28"/>
            <w:szCs w:val="28"/>
          </w:rPr>
          <w:t>.2021.693221/</w:t>
        </w:r>
        <w:r w:rsidRPr="003D4875">
          <w:rPr>
            <w:rStyle w:val="a9"/>
            <w:rFonts w:ascii="Times New Roman" w:hAnsi="Times New Roman" w:cs="Times New Roman"/>
            <w:sz w:val="28"/>
            <w:szCs w:val="28"/>
            <w:lang w:val="en-US"/>
          </w:rPr>
          <w:t>full</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79FBDA1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t xml:space="preserve">Bell R., Smetana L., Binns I. C. Simplifying inquiry instruction // The Science Teacher. </w:t>
      </w:r>
      <w:r w:rsidRPr="003D4875">
        <w:rPr>
          <w:rFonts w:ascii="Times New Roman" w:hAnsi="Times New Roman" w:cs="Times New Roman"/>
          <w:sz w:val="28"/>
          <w:szCs w:val="28"/>
        </w:rPr>
        <w:t xml:space="preserve">2005. </w:t>
      </w:r>
      <w:r w:rsidRPr="003D4875">
        <w:rPr>
          <w:rFonts w:ascii="Times New Roman" w:hAnsi="Times New Roman" w:cs="Times New Roman"/>
          <w:sz w:val="28"/>
          <w:szCs w:val="28"/>
          <w:lang w:val="en-US"/>
        </w:rPr>
        <w:t>Vol</w:t>
      </w:r>
      <w:r w:rsidRPr="003D4875">
        <w:rPr>
          <w:rFonts w:ascii="Times New Roman" w:hAnsi="Times New Roman" w:cs="Times New Roman"/>
          <w:sz w:val="28"/>
          <w:szCs w:val="28"/>
        </w:rPr>
        <w:t xml:space="preserve">. 72, № 7.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4"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researchgate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net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publication</w:t>
        </w:r>
        <w:r w:rsidRPr="003D4875">
          <w:rPr>
            <w:rStyle w:val="a9"/>
            <w:rFonts w:ascii="Times New Roman" w:hAnsi="Times New Roman" w:cs="Times New Roman"/>
            <w:sz w:val="28"/>
            <w:szCs w:val="28"/>
          </w:rPr>
          <w:t>/228665515_</w:t>
        </w:r>
        <w:r w:rsidRPr="003D4875">
          <w:rPr>
            <w:rStyle w:val="a9"/>
            <w:rFonts w:ascii="Times New Roman" w:hAnsi="Times New Roman" w:cs="Times New Roman"/>
            <w:sz w:val="28"/>
            <w:szCs w:val="28"/>
            <w:lang w:val="en-US"/>
          </w:rPr>
          <w:t>Simplifying</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inquiry</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instruction</w:t>
        </w:r>
      </w:hyperlink>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rPr>
        <w:t>(дата звернення: 24.03.2026).</w:t>
      </w:r>
    </w:p>
    <w:p w14:paraId="4DEB215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Biddulph M., Bèneker T., Mitchell D., Hanus M., Leininger-Frézal C., Zwartjes L., Donert K. Teaching powerful geographical knowledge – a matter of social justice: Initial findings from the GeoCapabilities 3 project // International Research in Geographical and Environmental Education. 2020. Vol. 29, № 3. P. 260–274.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5"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full</w:t>
        </w:r>
        <w:r w:rsidRPr="003D4875">
          <w:rPr>
            <w:rStyle w:val="a9"/>
            <w:rFonts w:ascii="Times New Roman" w:hAnsi="Times New Roman" w:cs="Times New Roman"/>
            <w:sz w:val="28"/>
            <w:szCs w:val="28"/>
          </w:rPr>
          <w:t>/10.1080/10382046.2020.1749756</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069DC4B"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Black P., Wiliam D. Assessment and classroom learning // Assessment in Education: Principles, Policy &amp; Practice. 1998. Vol. 5, Issue 1. P. 7-74.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1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assess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ucr</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edu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sites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default</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files</w:t>
        </w:r>
        <w:r w:rsidRPr="003D4875">
          <w:rPr>
            <w:rStyle w:val="a9"/>
            <w:rFonts w:ascii="Times New Roman" w:hAnsi="Times New Roman" w:cs="Times New Roman"/>
            <w:sz w:val="28"/>
            <w:szCs w:val="28"/>
            <w:lang w:val="uk-UA"/>
          </w:rPr>
          <w:t>/2019-02/</w:t>
        </w:r>
        <w:r w:rsidRPr="003D4875">
          <w:rPr>
            <w:rStyle w:val="a9"/>
            <w:rFonts w:ascii="Times New Roman" w:hAnsi="Times New Roman" w:cs="Times New Roman"/>
            <w:sz w:val="28"/>
            <w:szCs w:val="28"/>
            <w:lang w:val="en-US"/>
          </w:rPr>
          <w:t>blackwiliam</w:t>
        </w:r>
        <w:r w:rsidRPr="003D4875">
          <w:rPr>
            <w:rStyle w:val="a9"/>
            <w:rFonts w:ascii="Times New Roman" w:hAnsi="Times New Roman" w:cs="Times New Roman"/>
            <w:sz w:val="28"/>
            <w:szCs w:val="28"/>
            <w:lang w:val="uk-UA"/>
          </w:rPr>
          <w:t>_1998.</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26.03.2026)</w:t>
      </w:r>
    </w:p>
    <w:p w14:paraId="0835081C"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lastRenderedPageBreak/>
        <w:t xml:space="preserve">Bybee R. W., Taylor J. A., Gardner A., Van Scotter P. The BSCS 5E instructional model: Origins and effectiveness. 2006.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researchgate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net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publication</w:t>
        </w:r>
        <w:r w:rsidRPr="003D4875">
          <w:rPr>
            <w:rStyle w:val="a9"/>
            <w:rFonts w:ascii="Times New Roman" w:hAnsi="Times New Roman" w:cs="Times New Roman"/>
            <w:sz w:val="28"/>
            <w:szCs w:val="28"/>
          </w:rPr>
          <w:t>/281412517_</w:t>
        </w:r>
        <w:r w:rsidRPr="003D4875">
          <w:rPr>
            <w:rStyle w:val="a9"/>
            <w:rFonts w:ascii="Times New Roman" w:hAnsi="Times New Roman" w:cs="Times New Roman"/>
            <w:sz w:val="28"/>
            <w:szCs w:val="28"/>
            <w:lang w:val="en-US"/>
          </w:rPr>
          <w:t>The</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BSCS</w:t>
        </w:r>
        <w:r w:rsidRPr="003D4875">
          <w:rPr>
            <w:rStyle w:val="a9"/>
            <w:rFonts w:ascii="Times New Roman" w:hAnsi="Times New Roman" w:cs="Times New Roman"/>
            <w:sz w:val="28"/>
            <w:szCs w:val="28"/>
          </w:rPr>
          <w:t>_5</w:t>
        </w:r>
        <w:r w:rsidRPr="003D4875">
          <w:rPr>
            <w:rStyle w:val="a9"/>
            <w:rFonts w:ascii="Times New Roman" w:hAnsi="Times New Roman" w:cs="Times New Roman"/>
            <w:sz w:val="28"/>
            <w:szCs w:val="28"/>
            <w:lang w:val="en-US"/>
          </w:rPr>
          <w:t>E</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instructional</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model</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Origins</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effectiveness</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7584CBF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Connections: The Geography 16-19 Project. </w:t>
      </w:r>
      <w:r w:rsidRPr="003D4875">
        <w:rPr>
          <w:rFonts w:ascii="Times New Roman" w:hAnsi="Times New Roman" w:cs="Times New Roman"/>
          <w:sz w:val="28"/>
          <w:szCs w:val="28"/>
          <w:lang w:val="en-US"/>
        </w:rPr>
        <w:t>ERIC. URL</w:t>
      </w:r>
      <w:r w:rsidRPr="003D4875">
        <w:rPr>
          <w:rFonts w:ascii="Times New Roman" w:hAnsi="Times New Roman" w:cs="Times New Roman"/>
          <w:sz w:val="28"/>
          <w:szCs w:val="28"/>
        </w:rPr>
        <w:t xml:space="preserve">: </w:t>
      </w:r>
      <w:hyperlink r:id="rId1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eric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EJ</w:t>
        </w:r>
        <w:r w:rsidRPr="003D4875">
          <w:rPr>
            <w:rStyle w:val="a9"/>
            <w:rFonts w:ascii="Times New Roman" w:hAnsi="Times New Roman" w:cs="Times New Roman"/>
            <w:sz w:val="28"/>
            <w:szCs w:val="28"/>
          </w:rPr>
          <w:t>203847</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0292EDD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Council Recommendation of 22 May 2018 on key competences for lifelong learning (Text with EEA relevance.). Publications Office of the European Union. </w:t>
      </w:r>
      <w:r w:rsidRPr="003D4875">
        <w:rPr>
          <w:rFonts w:ascii="Times New Roman" w:hAnsi="Times New Roman" w:cs="Times New Roman"/>
          <w:sz w:val="28"/>
          <w:szCs w:val="28"/>
          <w:lang w:val="en-US"/>
        </w:rPr>
        <w:t xml:space="preserve">URL: </w:t>
      </w:r>
      <w:hyperlink r:id="rId19" w:history="1">
        <w:r w:rsidRPr="003D4875">
          <w:rPr>
            <w:rStyle w:val="a9"/>
            <w:rFonts w:ascii="Times New Roman" w:hAnsi="Times New Roman" w:cs="Times New Roman"/>
            <w:sz w:val="28"/>
            <w:szCs w:val="28"/>
            <w:lang w:val="en-US"/>
          </w:rPr>
          <w:t>https://op.europa.eu/en/publication-detail/-/publication/6fda126a-67c9-11e8-ab9c-01aa75ed71a1</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59BA789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Council Recommendation on Key Competences for Lifelong Learning. </w:t>
      </w:r>
      <w:r w:rsidRPr="003D4875">
        <w:rPr>
          <w:rFonts w:ascii="Times New Roman" w:hAnsi="Times New Roman" w:cs="Times New Roman"/>
          <w:sz w:val="28"/>
          <w:szCs w:val="28"/>
          <w:lang w:val="en-US"/>
        </w:rPr>
        <w:t xml:space="preserve">European Education Area. URL: </w:t>
      </w:r>
      <w:hyperlink r:id="rId20" w:history="1">
        <w:r w:rsidRPr="003D4875">
          <w:rPr>
            <w:rStyle w:val="a9"/>
            <w:rFonts w:ascii="Times New Roman" w:hAnsi="Times New Roman" w:cs="Times New Roman"/>
            <w:sz w:val="28"/>
            <w:szCs w:val="28"/>
            <w:lang w:val="en-US"/>
          </w:rPr>
          <w:t>https://education.ec.europa.eu/focus-topics/improving-quality/key-competences</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61B20B62"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Definition and Selection of Competencies: Theoretical and Conceptual Foundations. </w:t>
      </w:r>
      <w:r w:rsidRPr="003D4875">
        <w:rPr>
          <w:rFonts w:ascii="Times New Roman" w:hAnsi="Times New Roman" w:cs="Times New Roman"/>
          <w:sz w:val="28"/>
          <w:szCs w:val="28"/>
          <w:lang w:val="en-US"/>
        </w:rPr>
        <w:t>DeSeCo</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2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deseco</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ch</w:t>
        </w:r>
        <w:r w:rsidRPr="003D4875">
          <w:rPr>
            <w:rStyle w:val="a9"/>
            <w:rFonts w:ascii="Times New Roman" w:hAnsi="Times New Roman" w:cs="Times New Roman"/>
            <w:sz w:val="28"/>
            <w:szCs w:val="28"/>
            <w:lang w:val="uk-UA"/>
          </w:rPr>
          <w:t>/</w:t>
        </w:r>
      </w:hyperlink>
      <w:r w:rsidRPr="003D4875">
        <w:rPr>
          <w:rFonts w:ascii="Times New Roman" w:hAnsi="Times New Roman" w:cs="Times New Roman"/>
          <w:sz w:val="28"/>
          <w:szCs w:val="28"/>
          <w:lang w:val="uk-UA"/>
        </w:rPr>
        <w:t xml:space="preserve"> (дата звернення: 24.03.2026)</w:t>
      </w:r>
    </w:p>
    <w:p w14:paraId="066B921C"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Fargher M. WebGIS for geography education: Towards a GeoCapabilities approach // ISPRS International Journal of Geo-Information. 2018. Vol. 7, № 3. Art. 111. URL: </w:t>
      </w:r>
      <w:hyperlink r:id="rId22" w:history="1">
        <w:r w:rsidRPr="003D4875">
          <w:rPr>
            <w:rStyle w:val="a9"/>
            <w:rFonts w:ascii="Times New Roman" w:hAnsi="Times New Roman" w:cs="Times New Roman"/>
            <w:sz w:val="28"/>
            <w:szCs w:val="28"/>
            <w:lang w:val="uk-UA"/>
          </w:rPr>
          <w:t>https://www.mdpi.com/2220-9964/7/3/111</w:t>
        </w:r>
      </w:hyperlink>
      <w:r w:rsidRPr="003D4875">
        <w:rPr>
          <w:rFonts w:ascii="Times New Roman" w:hAnsi="Times New Roman" w:cs="Times New Roman"/>
          <w:sz w:val="28"/>
          <w:szCs w:val="28"/>
          <w:lang w:val="uk-UA"/>
        </w:rPr>
        <w:t xml:space="preserve"> (дата звернення: 24.03.2026)</w:t>
      </w:r>
    </w:p>
    <w:p w14:paraId="67D0F80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t>Fieldwork</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through</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enquiry</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Geographicsl Association. URL</w:t>
      </w:r>
      <w:r w:rsidRPr="003D4875">
        <w:rPr>
          <w:rFonts w:ascii="Times New Roman" w:hAnsi="Times New Roman" w:cs="Times New Roman"/>
          <w:sz w:val="28"/>
          <w:szCs w:val="28"/>
        </w:rPr>
        <w:t xml:space="preserve">: </w:t>
      </w:r>
      <w:hyperlink r:id="rId2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uk</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initial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teacher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support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for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trainees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ects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learning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to</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teach</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secondary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subject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teaching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curriculum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geographical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practice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fieldwork</w:t>
        </w:r>
        <w:r w:rsidRPr="003D4875">
          <w:rPr>
            <w:rStyle w:val="a9"/>
            <w:rFonts w:ascii="Times New Roman" w:hAnsi="Times New Roman" w:cs="Times New Roman"/>
            <w:sz w:val="28"/>
            <w:szCs w:val="28"/>
          </w:rPr>
          <w:t>-2/</w:t>
        </w:r>
        <w:r w:rsidRPr="003D4875">
          <w:rPr>
            <w:rStyle w:val="a9"/>
            <w:rFonts w:ascii="Times New Roman" w:hAnsi="Times New Roman" w:cs="Times New Roman"/>
            <w:sz w:val="28"/>
            <w:szCs w:val="28"/>
            <w:lang w:val="en-US"/>
          </w:rPr>
          <w:t>fieldwork</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through</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enquiry</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6C8767E"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Formative assessment. </w:t>
      </w:r>
      <w:r w:rsidRPr="003D4875">
        <w:rPr>
          <w:rFonts w:ascii="Times New Roman" w:hAnsi="Times New Roman" w:cs="Times New Roman"/>
          <w:sz w:val="28"/>
          <w:szCs w:val="28"/>
          <w:lang w:val="en-US"/>
        </w:rPr>
        <w:t xml:space="preserve">Geographical Association. URL: </w:t>
      </w:r>
      <w:hyperlink r:id="rId24" w:history="1">
        <w:r w:rsidRPr="003D4875">
          <w:rPr>
            <w:rStyle w:val="a9"/>
            <w:rFonts w:ascii="Times New Roman" w:hAnsi="Times New Roman" w:cs="Times New Roman"/>
            <w:sz w:val="28"/>
            <w:szCs w:val="28"/>
            <w:lang w:val="en-US"/>
          </w:rPr>
          <w:t>https://geography.org.uk/ite/initial-teacher-education/geography-support-for-trainees-and-ects/learning-to-teach-secondary-geography/assessment-in-geography/formative-assessment/</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lang w:val="en-US"/>
        </w:rPr>
        <w:t>)</w:t>
      </w:r>
    </w:p>
    <w:p w14:paraId="637697F6"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Future of Education and Skills 2030/2040. </w:t>
      </w:r>
      <w:r w:rsidRPr="003D4875">
        <w:rPr>
          <w:rFonts w:ascii="Times New Roman" w:hAnsi="Times New Roman" w:cs="Times New Roman"/>
          <w:sz w:val="28"/>
          <w:szCs w:val="28"/>
          <w:lang w:val="en-US"/>
        </w:rPr>
        <w:t>OECD</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25"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oecd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about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projects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future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of</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skills</w:t>
        </w:r>
        <w:r w:rsidRPr="003D4875">
          <w:rPr>
            <w:rStyle w:val="a9"/>
            <w:rFonts w:ascii="Times New Roman" w:hAnsi="Times New Roman" w:cs="Times New Roman"/>
            <w:sz w:val="28"/>
            <w:szCs w:val="28"/>
          </w:rPr>
          <w:t>-2030.</w:t>
        </w:r>
        <w:r w:rsidRPr="003D4875">
          <w:rPr>
            <w:rStyle w:val="a9"/>
            <w:rFonts w:ascii="Times New Roman" w:hAnsi="Times New Roman" w:cs="Times New Roman"/>
            <w:sz w:val="28"/>
            <w:szCs w:val="28"/>
            <w:lang w:val="en-US"/>
          </w:rPr>
          <w:t>html</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7B0B08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lastRenderedPageBreak/>
        <w:t xml:space="preserve">García de la Vega A. A proposal for geography competence assessment in geography fieldtrips for sustainable education // Sustainability. 2022. Vol. 14, Issue 3.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2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mdpi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/2071-1050/14/3/1429</w:t>
        </w:r>
      </w:hyperlink>
      <w:r w:rsidRPr="003D4875">
        <w:rPr>
          <w:rFonts w:ascii="Times New Roman" w:hAnsi="Times New Roman" w:cs="Times New Roman"/>
          <w:sz w:val="28"/>
          <w:szCs w:val="28"/>
          <w:lang w:val="uk-UA"/>
        </w:rPr>
        <w:t xml:space="preserve"> (дата звернення: 26.03.2026)</w:t>
      </w:r>
    </w:p>
    <w:p w14:paraId="3071F88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en-US"/>
        </w:rPr>
        <w:t>Geographic</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Inquiry</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into</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Global</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Issues</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GIGI</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 xml:space="preserve">University of Colorado Boulder. URL: </w:t>
      </w:r>
      <w:hyperlink r:id="rId27" w:history="1">
        <w:r w:rsidRPr="003D4875">
          <w:rPr>
            <w:rStyle w:val="a9"/>
            <w:rFonts w:ascii="Times New Roman" w:hAnsi="Times New Roman" w:cs="Times New Roman"/>
            <w:sz w:val="28"/>
            <w:szCs w:val="28"/>
            <w:lang w:val="en-US"/>
          </w:rPr>
          <w:t>https://www.colorado.edu/geography/geographic-inquiry-global-issues-gigi</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1F58FF35"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Geographical enquiry (menu). </w:t>
      </w:r>
      <w:r w:rsidRPr="003D4875">
        <w:rPr>
          <w:rFonts w:ascii="Times New Roman" w:hAnsi="Times New Roman" w:cs="Times New Roman"/>
          <w:sz w:val="28"/>
          <w:szCs w:val="28"/>
          <w:lang w:val="en-US"/>
        </w:rPr>
        <w:t>Geographical Association. URL</w:t>
      </w:r>
      <w:r w:rsidRPr="003D4875">
        <w:rPr>
          <w:rFonts w:ascii="Times New Roman" w:hAnsi="Times New Roman" w:cs="Times New Roman"/>
          <w:sz w:val="28"/>
          <w:szCs w:val="28"/>
        </w:rPr>
        <w:t xml:space="preserve">: </w:t>
      </w:r>
      <w:hyperlink r:id="rId2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uk</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geographical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enquiry</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344360C2"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t>Geography</w:t>
      </w:r>
      <w:r w:rsidRPr="003D4875">
        <w:rPr>
          <w:rFonts w:ascii="Times New Roman" w:hAnsi="Times New Roman" w:cs="Times New Roman"/>
          <w:sz w:val="28"/>
          <w:szCs w:val="28"/>
          <w:lang w:val="uk-UA"/>
        </w:rPr>
        <w:t xml:space="preserve"> 16-19: </w:t>
      </w:r>
      <w:r w:rsidRPr="003D4875">
        <w:rPr>
          <w:rFonts w:ascii="Times New Roman" w:hAnsi="Times New Roman" w:cs="Times New Roman"/>
          <w:sz w:val="28"/>
          <w:szCs w:val="28"/>
          <w:lang w:val="en-US"/>
        </w:rPr>
        <w:t>Some</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Implications</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for</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Higher</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Education</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ERIC</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29"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eric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EJ</w:t>
        </w:r>
        <w:r w:rsidRPr="003D4875">
          <w:rPr>
            <w:rStyle w:val="a9"/>
            <w:rFonts w:ascii="Times New Roman" w:hAnsi="Times New Roman" w:cs="Times New Roman"/>
            <w:sz w:val="28"/>
            <w:szCs w:val="28"/>
          </w:rPr>
          <w:t>422071</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17E3B76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Gerber R., Goh K. C. (eds.). Fieldwork in geography: Reflections, perspectives and actions. Dordrecht : Springer, 2000. (GeoJournal Library ; Vol. 54).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30"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link</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springer</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book</w:t>
        </w:r>
        <w:r w:rsidRPr="003D4875">
          <w:rPr>
            <w:rStyle w:val="a9"/>
            <w:rFonts w:ascii="Times New Roman" w:hAnsi="Times New Roman" w:cs="Times New Roman"/>
            <w:sz w:val="28"/>
            <w:szCs w:val="28"/>
            <w:lang w:val="uk-UA"/>
          </w:rPr>
          <w:t>/10.1007/978-94-017-1552-2</w:t>
        </w:r>
      </w:hyperlink>
      <w:r w:rsidRPr="003D4875">
        <w:rPr>
          <w:rFonts w:ascii="Times New Roman" w:hAnsi="Times New Roman" w:cs="Times New Roman"/>
          <w:sz w:val="28"/>
          <w:szCs w:val="28"/>
          <w:lang w:val="uk-UA"/>
        </w:rPr>
        <w:t xml:space="preserve"> (дата звернення: 24.03.2026)</w:t>
      </w:r>
    </w:p>
    <w:p w14:paraId="1600152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Hill A. D. Geographic inquiry into global issues // OAH Magazine of History. 1993. Vol. 7, № 3. P. 73–76. URL: </w:t>
      </w:r>
      <w:hyperlink r:id="rId31" w:history="1">
        <w:r w:rsidRPr="003D4875">
          <w:rPr>
            <w:rStyle w:val="a9"/>
            <w:rFonts w:ascii="Times New Roman" w:hAnsi="Times New Roman" w:cs="Times New Roman"/>
            <w:sz w:val="28"/>
            <w:szCs w:val="28"/>
            <w:lang w:val="uk-UA"/>
          </w:rPr>
          <w:t>https://academic.oup.com/maghis/article-abstract/7/3/73/940718</w:t>
        </w:r>
      </w:hyperlink>
      <w:r w:rsidRPr="003D4875">
        <w:rPr>
          <w:rFonts w:ascii="Times New Roman" w:hAnsi="Times New Roman" w:cs="Times New Roman"/>
          <w:sz w:val="28"/>
          <w:szCs w:val="28"/>
          <w:lang w:val="uk-UA"/>
        </w:rPr>
        <w:t xml:space="preserve"> (дата звернення: 24.03.2026)</w:t>
      </w:r>
    </w:p>
    <w:p w14:paraId="1C395DFB"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Hmelo-Silver C. E., Duncan R. G., Chinn C. A. Scaffolding and achievement in problem-based and inquiry learning: A response to Kirschner, Sweller, and Clark (2006) // Educational Psychologist. 2007. Vol. 42, № 2. P. 99–107.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3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full</w:t>
        </w:r>
        <w:r w:rsidRPr="003D4875">
          <w:rPr>
            <w:rStyle w:val="a9"/>
            <w:rFonts w:ascii="Times New Roman" w:hAnsi="Times New Roman" w:cs="Times New Roman"/>
            <w:sz w:val="28"/>
            <w:szCs w:val="28"/>
          </w:rPr>
          <w:t>/10.1080/00461520701263368</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FD7189C"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How We Think by John Dewey. </w:t>
      </w:r>
      <w:r w:rsidRPr="003D4875">
        <w:rPr>
          <w:rFonts w:ascii="Times New Roman" w:hAnsi="Times New Roman" w:cs="Times New Roman"/>
          <w:sz w:val="28"/>
          <w:szCs w:val="28"/>
          <w:lang w:val="en-US"/>
        </w:rPr>
        <w:t>Project</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Gutenberg</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3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gutenberg</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ebooks</w:t>
        </w:r>
        <w:r w:rsidRPr="003D4875">
          <w:rPr>
            <w:rStyle w:val="a9"/>
            <w:rFonts w:ascii="Times New Roman" w:hAnsi="Times New Roman" w:cs="Times New Roman"/>
            <w:sz w:val="28"/>
            <w:szCs w:val="28"/>
            <w:lang w:val="uk-UA"/>
          </w:rPr>
          <w:t>/37423</w:t>
        </w:r>
      </w:hyperlink>
      <w:r w:rsidRPr="003D4875">
        <w:rPr>
          <w:rFonts w:ascii="Times New Roman" w:hAnsi="Times New Roman" w:cs="Times New Roman"/>
          <w:sz w:val="28"/>
          <w:szCs w:val="28"/>
          <w:lang w:val="uk-UA"/>
        </w:rPr>
        <w:t xml:space="preserve"> (дата звернення: 24.03.2026)</w:t>
      </w:r>
    </w:p>
    <w:p w14:paraId="59D7FBE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Hynynen L., Nylén T., Hirvensalo V., Lammi P., Muukkonen P. Maantieteen opettajien näkemyksiä geomediasta ja geomediaopetuksesta // Terra. 2022. Vol. 134, № 4. URL: </w:t>
      </w:r>
      <w:hyperlink r:id="rId34" w:history="1">
        <w:r w:rsidRPr="003D4875">
          <w:rPr>
            <w:rStyle w:val="a9"/>
            <w:rFonts w:ascii="Times New Roman" w:hAnsi="Times New Roman" w:cs="Times New Roman"/>
            <w:sz w:val="28"/>
            <w:szCs w:val="28"/>
            <w:lang w:val="uk-UA"/>
          </w:rPr>
          <w:t>https://terra.journal.fi/article/view/120326</w:t>
        </w:r>
      </w:hyperlink>
      <w:r w:rsidRPr="003D4875">
        <w:rPr>
          <w:rFonts w:ascii="Times New Roman" w:hAnsi="Times New Roman" w:cs="Times New Roman"/>
          <w:sz w:val="28"/>
          <w:szCs w:val="28"/>
          <w:lang w:val="uk-UA"/>
        </w:rPr>
        <w:t xml:space="preserve"> (дата звернення: 24.03.2026)</w:t>
      </w:r>
    </w:p>
    <w:p w14:paraId="4DE6AD1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Inquiry and the National Science Education Standards: A Guide for Teaching and Learning. 2000.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35" w:anchor="ii"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nationalacademies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read</w:t>
        </w:r>
        <w:r w:rsidRPr="003D4875">
          <w:rPr>
            <w:rStyle w:val="a9"/>
            <w:rFonts w:ascii="Times New Roman" w:hAnsi="Times New Roman" w:cs="Times New Roman"/>
            <w:sz w:val="28"/>
            <w:szCs w:val="28"/>
          </w:rPr>
          <w:t>/9596/</w:t>
        </w:r>
        <w:r w:rsidRPr="003D4875">
          <w:rPr>
            <w:rStyle w:val="a9"/>
            <w:rFonts w:ascii="Times New Roman" w:hAnsi="Times New Roman" w:cs="Times New Roman"/>
            <w:sz w:val="28"/>
            <w:szCs w:val="28"/>
            <w:lang w:val="en-US"/>
          </w:rPr>
          <w:t>chapter</w:t>
        </w:r>
        <w:r w:rsidRPr="003D4875">
          <w:rPr>
            <w:rStyle w:val="a9"/>
            <w:rFonts w:ascii="Times New Roman" w:hAnsi="Times New Roman" w:cs="Times New Roman"/>
            <w:sz w:val="28"/>
            <w:szCs w:val="28"/>
          </w:rPr>
          <w:t>/1#</w:t>
        </w:r>
        <w:r w:rsidRPr="003D4875">
          <w:rPr>
            <w:rStyle w:val="a9"/>
            <w:rFonts w:ascii="Times New Roman" w:hAnsi="Times New Roman" w:cs="Times New Roman"/>
            <w:sz w:val="28"/>
            <w:szCs w:val="28"/>
            <w:lang w:val="en-US"/>
          </w:rPr>
          <w:t>ii</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258B611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t>Key competences for lifelong learning</w:t>
      </w:r>
      <w:r w:rsidRPr="003D4875">
        <w:rPr>
          <w:rFonts w:ascii="Times New Roman" w:hAnsi="Times New Roman" w:cs="Times New Roman"/>
          <w:sz w:val="28"/>
          <w:szCs w:val="28"/>
          <w:lang w:val="uk-UA"/>
        </w:rPr>
        <w:t>. Publications Office of the European Union</w:t>
      </w:r>
      <w:r w:rsidRPr="003D4875">
        <w:rPr>
          <w:rFonts w:ascii="Times New Roman" w:hAnsi="Times New Roman" w:cs="Times New Roman"/>
          <w:sz w:val="28"/>
          <w:szCs w:val="28"/>
          <w:lang w:val="en-US"/>
        </w:rPr>
        <w:t>. URL</w:t>
      </w:r>
      <w:r w:rsidRPr="003D4875">
        <w:rPr>
          <w:rFonts w:ascii="Times New Roman" w:hAnsi="Times New Roman" w:cs="Times New Roman"/>
          <w:sz w:val="28"/>
          <w:szCs w:val="28"/>
        </w:rPr>
        <w:t xml:space="preserve">: </w:t>
      </w:r>
      <w:hyperlink r:id="rId3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op</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europa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publication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detail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publication</w:t>
        </w:r>
        <w:r w:rsidRPr="003D4875">
          <w:rPr>
            <w:rStyle w:val="a9"/>
            <w:rFonts w:ascii="Times New Roman" w:hAnsi="Times New Roman" w:cs="Times New Roman"/>
            <w:sz w:val="28"/>
            <w:szCs w:val="28"/>
          </w:rPr>
          <w:t>/297</w:t>
        </w:r>
        <w:r w:rsidRPr="003D4875">
          <w:rPr>
            <w:rStyle w:val="a9"/>
            <w:rFonts w:ascii="Times New Roman" w:hAnsi="Times New Roman" w:cs="Times New Roman"/>
            <w:sz w:val="28"/>
            <w:szCs w:val="28"/>
            <w:lang w:val="en-US"/>
          </w:rPr>
          <w:t>a</w:t>
        </w:r>
        <w:r w:rsidRPr="003D4875">
          <w:rPr>
            <w:rStyle w:val="a9"/>
            <w:rFonts w:ascii="Times New Roman" w:hAnsi="Times New Roman" w:cs="Times New Roman"/>
            <w:sz w:val="28"/>
            <w:szCs w:val="28"/>
          </w:rPr>
          <w:t>33</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rPr>
          <w:t>8-</w:t>
        </w:r>
        <w:r w:rsidRPr="003D4875">
          <w:rPr>
            <w:rStyle w:val="a9"/>
            <w:rFonts w:ascii="Times New Roman" w:hAnsi="Times New Roman" w:cs="Times New Roman"/>
            <w:sz w:val="28"/>
            <w:szCs w:val="28"/>
            <w:lang w:val="en-US"/>
          </w:rPr>
          <w:t>a</w:t>
        </w:r>
        <w:r w:rsidRPr="003D4875">
          <w:rPr>
            <w:rStyle w:val="a9"/>
            <w:rFonts w:ascii="Times New Roman" w:hAnsi="Times New Roman" w:cs="Times New Roman"/>
            <w:sz w:val="28"/>
            <w:szCs w:val="28"/>
          </w:rPr>
          <w:t>1</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rPr>
          <w:t>3-11</w:t>
        </w:r>
        <w:r w:rsidRPr="003D4875">
          <w:rPr>
            <w:rStyle w:val="a9"/>
            <w:rFonts w:ascii="Times New Roman" w:hAnsi="Times New Roman" w:cs="Times New Roman"/>
            <w:sz w:val="28"/>
            <w:szCs w:val="28"/>
            <w:lang w:val="en-US"/>
          </w:rPr>
          <w:t>e</w:t>
        </w:r>
        <w:r w:rsidRPr="003D4875">
          <w:rPr>
            <w:rStyle w:val="a9"/>
            <w:rFonts w:ascii="Times New Roman" w:hAnsi="Times New Roman" w:cs="Times New Roman"/>
            <w:sz w:val="28"/>
            <w:szCs w:val="28"/>
          </w:rPr>
          <w:t>9-9</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01-01</w:t>
        </w:r>
        <w:r w:rsidRPr="003D4875">
          <w:rPr>
            <w:rStyle w:val="a9"/>
            <w:rFonts w:ascii="Times New Roman" w:hAnsi="Times New Roman" w:cs="Times New Roman"/>
            <w:sz w:val="28"/>
            <w:szCs w:val="28"/>
            <w:lang w:val="en-US"/>
          </w:rPr>
          <w:t>aa</w:t>
        </w:r>
        <w:r w:rsidRPr="003D4875">
          <w:rPr>
            <w:rStyle w:val="a9"/>
            <w:rFonts w:ascii="Times New Roman" w:hAnsi="Times New Roman" w:cs="Times New Roman"/>
            <w:sz w:val="28"/>
            <w:szCs w:val="28"/>
          </w:rPr>
          <w:t>75</w:t>
        </w:r>
        <w:r w:rsidRPr="003D4875">
          <w:rPr>
            <w:rStyle w:val="a9"/>
            <w:rFonts w:ascii="Times New Roman" w:hAnsi="Times New Roman" w:cs="Times New Roman"/>
            <w:sz w:val="28"/>
            <w:szCs w:val="28"/>
            <w:lang w:val="en-US"/>
          </w:rPr>
          <w:t>ed</w:t>
        </w:r>
        <w:r w:rsidRPr="003D4875">
          <w:rPr>
            <w:rStyle w:val="a9"/>
            <w:rFonts w:ascii="Times New Roman" w:hAnsi="Times New Roman" w:cs="Times New Roman"/>
            <w:sz w:val="28"/>
            <w:szCs w:val="28"/>
          </w:rPr>
          <w:t>71</w:t>
        </w:r>
        <w:r w:rsidRPr="003D4875">
          <w:rPr>
            <w:rStyle w:val="a9"/>
            <w:rFonts w:ascii="Times New Roman" w:hAnsi="Times New Roman" w:cs="Times New Roman"/>
            <w:sz w:val="28"/>
            <w:szCs w:val="28"/>
            <w:lang w:val="en-US"/>
          </w:rPr>
          <w:t>a</w:t>
        </w:r>
        <w:r w:rsidRPr="003D4875">
          <w:rPr>
            <w:rStyle w:val="a9"/>
            <w:rFonts w:ascii="Times New Roman" w:hAnsi="Times New Roman" w:cs="Times New Roman"/>
            <w:sz w:val="28"/>
            <w:szCs w:val="28"/>
          </w:rPr>
          <w:t>1</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6F177981"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Kirschner P. A., Sweller J., Clark R. E. Why minimal guidance during instruction does not work: An analysis of the failure of constructivist, discovery, problem-based, experiential, and inquiry-based teaching // Educational Psychologist. 2006. Vol. 41, № 2. P. 75–86.</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3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abs</w:t>
        </w:r>
        <w:r w:rsidRPr="003D4875">
          <w:rPr>
            <w:rStyle w:val="a9"/>
            <w:rFonts w:ascii="Times New Roman" w:hAnsi="Times New Roman" w:cs="Times New Roman"/>
            <w:sz w:val="28"/>
            <w:szCs w:val="28"/>
          </w:rPr>
          <w:t>/10.1207/</w:t>
        </w:r>
        <w:r w:rsidRPr="003D4875">
          <w:rPr>
            <w:rStyle w:val="a9"/>
            <w:rFonts w:ascii="Times New Roman" w:hAnsi="Times New Roman" w:cs="Times New Roman"/>
            <w:sz w:val="28"/>
            <w:szCs w:val="28"/>
            <w:lang w:val="en-US"/>
          </w:rPr>
          <w:t>s</w:t>
        </w:r>
        <w:r w:rsidRPr="003D4875">
          <w:rPr>
            <w:rStyle w:val="a9"/>
            <w:rFonts w:ascii="Times New Roman" w:hAnsi="Times New Roman" w:cs="Times New Roman"/>
            <w:sz w:val="28"/>
            <w:szCs w:val="28"/>
          </w:rPr>
          <w:t>15326985</w:t>
        </w:r>
        <w:r w:rsidRPr="003D4875">
          <w:rPr>
            <w:rStyle w:val="a9"/>
            <w:rFonts w:ascii="Times New Roman" w:hAnsi="Times New Roman" w:cs="Times New Roman"/>
            <w:sz w:val="28"/>
            <w:szCs w:val="28"/>
            <w:lang w:val="en-US"/>
          </w:rPr>
          <w:t>ep</w:t>
        </w:r>
        <w:r w:rsidRPr="003D4875">
          <w:rPr>
            <w:rStyle w:val="a9"/>
            <w:rFonts w:ascii="Times New Roman" w:hAnsi="Times New Roman" w:cs="Times New Roman"/>
            <w:sz w:val="28"/>
            <w:szCs w:val="28"/>
          </w:rPr>
          <w:t>4102_1</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729D29C5"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Lee J. Beyond geospatial inquiry–how can we integrate the latest technological advances into geography education? // Education Sciences. 2023. Vol. 13, Issue 11.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3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mdpi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/2227-7102/13/11/1128</w:t>
        </w:r>
      </w:hyperlink>
      <w:r w:rsidRPr="003D4875">
        <w:rPr>
          <w:rFonts w:ascii="Times New Roman" w:hAnsi="Times New Roman" w:cs="Times New Roman"/>
          <w:sz w:val="28"/>
          <w:szCs w:val="28"/>
          <w:lang w:val="uk-UA"/>
        </w:rPr>
        <w:t xml:space="preserve"> (дата звернення: 26.03.2026)</w:t>
      </w:r>
    </w:p>
    <w:p w14:paraId="12585797"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Lee S. J., Kriewaldt J. Where powerful knowledge and pedagogical content knowledge intersect: The case of knowledge and beliefs for teaching school geography through inquiry // International Research in Geographical and Environmental Education. 2025. Vol. 34, № 1. P. 79–94.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39"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full</w:t>
        </w:r>
        <w:r w:rsidRPr="003D4875">
          <w:rPr>
            <w:rStyle w:val="a9"/>
            <w:rFonts w:ascii="Times New Roman" w:hAnsi="Times New Roman" w:cs="Times New Roman"/>
            <w:sz w:val="28"/>
            <w:szCs w:val="28"/>
            <w:lang w:val="uk-UA"/>
          </w:rPr>
          <w:t>/10.1080/10382046.2024.2348274</w:t>
        </w:r>
      </w:hyperlink>
      <w:r w:rsidRPr="003D4875">
        <w:rPr>
          <w:rFonts w:ascii="Times New Roman" w:hAnsi="Times New Roman" w:cs="Times New Roman"/>
          <w:sz w:val="28"/>
          <w:szCs w:val="28"/>
          <w:lang w:val="uk-UA"/>
        </w:rPr>
        <w:t xml:space="preserve"> (24.03.2026)</w:t>
      </w:r>
    </w:p>
    <w:p w14:paraId="6224FA6B"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Lee S. J., Kriewaldt J., Roberts M. Cross-national comparisons of inquiry learning in secondary geography curricula // Curriculum Journal. 2022. Vol. 33, № 1. P. 42–60. URL: </w:t>
      </w:r>
      <w:hyperlink r:id="rId40" w:history="1">
        <w:r w:rsidRPr="003D4875">
          <w:rPr>
            <w:rStyle w:val="a9"/>
            <w:rFonts w:ascii="Times New Roman" w:hAnsi="Times New Roman" w:cs="Times New Roman"/>
            <w:sz w:val="28"/>
            <w:szCs w:val="28"/>
            <w:lang w:val="uk-UA"/>
          </w:rPr>
          <w:t>https://eric.ed.gov/?id=EJ1322783</w:t>
        </w:r>
      </w:hyperlink>
      <w:r w:rsidRPr="003D4875">
        <w:rPr>
          <w:rFonts w:ascii="Times New Roman" w:hAnsi="Times New Roman" w:cs="Times New Roman"/>
          <w:sz w:val="28"/>
          <w:szCs w:val="28"/>
          <w:lang w:val="uk-UA"/>
        </w:rPr>
        <w:t xml:space="preserve"> (дата звернення: 24.03.2026)</w:t>
      </w:r>
    </w:p>
    <w:p w14:paraId="3FA7CE69"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Luniachek V., Borysenko K., Varenko T. Educational trainings for future geography teachers: Ukrainian perspective // Geosaberes: Revista de Estudos Geoeducacionais. 2020. Vol. 11. P. 406-422.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4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redalyc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journal</w:t>
        </w:r>
        <w:r w:rsidRPr="003D4875">
          <w:rPr>
            <w:rStyle w:val="a9"/>
            <w:rFonts w:ascii="Times New Roman" w:hAnsi="Times New Roman" w:cs="Times New Roman"/>
            <w:sz w:val="28"/>
            <w:szCs w:val="28"/>
          </w:rPr>
          <w:t>/5528/552861694034/</w:t>
        </w:r>
        <w:r w:rsidRPr="003D4875">
          <w:rPr>
            <w:rStyle w:val="a9"/>
            <w:rFonts w:ascii="Times New Roman" w:hAnsi="Times New Roman" w:cs="Times New Roman"/>
            <w:sz w:val="28"/>
            <w:szCs w:val="28"/>
            <w:lang w:val="en-US"/>
          </w:rPr>
          <w:t>html</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23A66F6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Mayer R. E. Should there be a three-strikes rule against pure discovery learning? The case for guided methods of instruction // American Psychologist. 2004. </w:t>
      </w:r>
      <w:r w:rsidRPr="003D4875">
        <w:rPr>
          <w:rFonts w:ascii="Times New Roman" w:hAnsi="Times New Roman" w:cs="Times New Roman"/>
          <w:sz w:val="28"/>
          <w:szCs w:val="28"/>
          <w:lang w:val="uk-UA"/>
        </w:rPr>
        <w:lastRenderedPageBreak/>
        <w:t xml:space="preserve">Vol. 59, № 1. P. 14-19.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4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pubmed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ncbi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nlm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nih</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/14736316/</w:t>
        </w:r>
      </w:hyperlink>
      <w:r w:rsidRPr="003D4875">
        <w:rPr>
          <w:rFonts w:ascii="Times New Roman" w:hAnsi="Times New Roman" w:cs="Times New Roman"/>
          <w:sz w:val="28"/>
          <w:szCs w:val="28"/>
          <w:lang w:val="uk-UA"/>
        </w:rPr>
        <w:t xml:space="preserve"> (дата звернення: 24.03.2026)</w:t>
      </w:r>
    </w:p>
    <w:p w14:paraId="430DAE45"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Multiliteracy and Media Literacy. </w:t>
      </w:r>
      <w:r w:rsidRPr="003D4875">
        <w:rPr>
          <w:rFonts w:ascii="Times New Roman" w:hAnsi="Times New Roman" w:cs="Times New Roman"/>
          <w:sz w:val="28"/>
          <w:szCs w:val="28"/>
          <w:lang w:val="en-US"/>
        </w:rPr>
        <w:t>Finnish National Agency for education. URL</w:t>
      </w:r>
      <w:r w:rsidRPr="003D4875">
        <w:rPr>
          <w:rFonts w:ascii="Times New Roman" w:hAnsi="Times New Roman" w:cs="Times New Roman"/>
          <w:sz w:val="28"/>
          <w:szCs w:val="28"/>
        </w:rPr>
        <w:t xml:space="preserve">: </w:t>
      </w:r>
      <w:hyperlink r:id="rId4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oph</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qualifications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multiliteracy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media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literacy</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7EE368B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National core curriculum for primary and lower secondary (basic) education. </w:t>
      </w:r>
      <w:r w:rsidRPr="003D4875">
        <w:rPr>
          <w:rFonts w:ascii="Times New Roman" w:hAnsi="Times New Roman" w:cs="Times New Roman"/>
          <w:sz w:val="28"/>
          <w:szCs w:val="28"/>
          <w:lang w:val="en-US"/>
        </w:rPr>
        <w:t xml:space="preserve">Finnish National Agency for education. URL: </w:t>
      </w:r>
      <w:hyperlink r:id="rId44" w:history="1">
        <w:r w:rsidRPr="003D4875">
          <w:rPr>
            <w:rStyle w:val="a9"/>
            <w:rFonts w:ascii="Times New Roman" w:hAnsi="Times New Roman" w:cs="Times New Roman"/>
            <w:sz w:val="28"/>
            <w:szCs w:val="28"/>
            <w:lang w:val="en-US"/>
          </w:rPr>
          <w:t>https://www.oph.fi/en/education-and-qualifications/national-core-curriculum-primary-and-lower-secondary-basic-education</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7534A0D9"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National curriculum in England: geography programmes of study. </w:t>
      </w:r>
      <w:r w:rsidRPr="003D4875">
        <w:rPr>
          <w:rFonts w:ascii="Times New Roman" w:hAnsi="Times New Roman" w:cs="Times New Roman"/>
          <w:sz w:val="28"/>
          <w:szCs w:val="28"/>
          <w:lang w:val="en-US"/>
        </w:rPr>
        <w:t xml:space="preserve">Department of Edication. URL: </w:t>
      </w:r>
      <w:hyperlink r:id="rId45" w:history="1">
        <w:r w:rsidRPr="003D4875">
          <w:rPr>
            <w:rStyle w:val="a9"/>
            <w:rFonts w:ascii="Times New Roman" w:hAnsi="Times New Roman" w:cs="Times New Roman"/>
            <w:sz w:val="28"/>
            <w:szCs w:val="28"/>
            <w:lang w:val="en-US"/>
          </w:rPr>
          <w:t>https://www.gov.uk/government/publications/national-curriculum-in-england-geography-programmes-of-study/national-curriculum-in-england-geography-programmes-of-study</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7F0B8E8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National Geography Standards Index. </w:t>
      </w:r>
      <w:r w:rsidRPr="003D4875">
        <w:rPr>
          <w:rFonts w:ascii="Times New Roman" w:hAnsi="Times New Roman" w:cs="Times New Roman"/>
          <w:sz w:val="28"/>
          <w:szCs w:val="28"/>
          <w:lang w:val="en-US"/>
        </w:rPr>
        <w:t>National Geographic. URL</w:t>
      </w:r>
      <w:r w:rsidRPr="003D4875">
        <w:rPr>
          <w:rFonts w:ascii="Times New Roman" w:hAnsi="Times New Roman" w:cs="Times New Roman"/>
          <w:sz w:val="28"/>
          <w:szCs w:val="28"/>
        </w:rPr>
        <w:t xml:space="preserve">: </w:t>
      </w:r>
      <w:hyperlink r:id="rId4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nationalgeographic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resource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national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standards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7968C2D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Nosachenko V. Pedagogical conditions for training future geography teachers for continuous professional development // Professional Education: Methodology, Theory and Technologies. 2022. Vol. 8, Issue 2. P. 213–237.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4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profedu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journals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vipusk</w:t>
        </w:r>
        <w:r w:rsidRPr="003D4875">
          <w:rPr>
            <w:rStyle w:val="a9"/>
            <w:rFonts w:ascii="Times New Roman" w:hAnsi="Times New Roman" w:cs="Times New Roman"/>
            <w:sz w:val="28"/>
            <w:szCs w:val="28"/>
            <w:lang w:val="uk-UA"/>
          </w:rPr>
          <w:t>-16/</w:t>
        </w:r>
        <w:r w:rsidRPr="003D4875">
          <w:rPr>
            <w:rStyle w:val="a9"/>
            <w:rFonts w:ascii="Times New Roman" w:hAnsi="Times New Roman" w:cs="Times New Roman"/>
            <w:sz w:val="28"/>
            <w:szCs w:val="28"/>
            <w:lang w:val="en-US"/>
          </w:rPr>
          <w:t>pedagogichni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umovi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pidgotovki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maybutnikh</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uchiteliv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geografiyi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do</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bezperervnogo</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profesiynogo</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rozvitku</w:t>
        </w:r>
      </w:hyperlink>
      <w:r w:rsidRPr="003D4875">
        <w:rPr>
          <w:rFonts w:ascii="Times New Roman" w:hAnsi="Times New Roman" w:cs="Times New Roman"/>
          <w:sz w:val="28"/>
          <w:szCs w:val="28"/>
          <w:lang w:val="uk-UA"/>
        </w:rPr>
        <w:t xml:space="preserve"> (дата звернення: 26.03.2026)</w:t>
      </w:r>
    </w:p>
    <w:p w14:paraId="43068EB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Open Educational Resources. </w:t>
      </w:r>
      <w:r w:rsidRPr="003D4875">
        <w:rPr>
          <w:rFonts w:ascii="Times New Roman" w:hAnsi="Times New Roman" w:cs="Times New Roman"/>
          <w:sz w:val="28"/>
          <w:szCs w:val="28"/>
          <w:lang w:val="en-US"/>
        </w:rPr>
        <w:t>UNESCO</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4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unesco</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open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educational</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resources</w:t>
        </w:r>
      </w:hyperlink>
      <w:r w:rsidRPr="003D4875">
        <w:rPr>
          <w:rFonts w:ascii="Times New Roman" w:hAnsi="Times New Roman" w:cs="Times New Roman"/>
          <w:sz w:val="28"/>
          <w:szCs w:val="28"/>
          <w:lang w:val="uk-UA"/>
        </w:rPr>
        <w:t xml:space="preserve"> (дата звернення: 26.03.2026)</w:t>
      </w:r>
    </w:p>
    <w:p w14:paraId="6D9CC9C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Passon J., Schlesinger J. Inquiry-based learning in geography // Inquiry-Based Learning – Undergraduate Research. Cham: Springer. P. 281-290.</w:t>
      </w:r>
      <w:r w:rsidRPr="003D4875">
        <w:rPr>
          <w:rFonts w:ascii="Times New Roman" w:hAnsi="Times New Roman" w:cs="Times New Roman"/>
          <w:sz w:val="28"/>
          <w:szCs w:val="28"/>
          <w:lang w:val="en-US"/>
        </w:rPr>
        <w:t xml:space="preserve"> URL: </w:t>
      </w:r>
      <w:hyperlink r:id="rId49" w:history="1">
        <w:r w:rsidRPr="003D4875">
          <w:rPr>
            <w:rStyle w:val="a9"/>
            <w:rFonts w:ascii="Times New Roman" w:hAnsi="Times New Roman" w:cs="Times New Roman"/>
            <w:sz w:val="28"/>
            <w:szCs w:val="28"/>
            <w:lang w:val="en-US"/>
          </w:rPr>
          <w:t>https://link.springer.com/chapter/10.1007/978-3-030-14223-0_26</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lang w:val="en-US"/>
        </w:rPr>
        <w:t>)</w:t>
      </w:r>
    </w:p>
    <w:p w14:paraId="32F5E15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lastRenderedPageBreak/>
        <w:t>P</w:t>
      </w:r>
      <w:r w:rsidRPr="003D4875">
        <w:rPr>
          <w:rFonts w:ascii="Times New Roman" w:hAnsi="Times New Roman" w:cs="Times New Roman"/>
          <w:sz w:val="28"/>
          <w:szCs w:val="28"/>
          <w:lang w:val="uk-UA"/>
        </w:rPr>
        <w:t>edaste M., Mäeots M., Siiman L. A., de Jong T., van Riesen S. A. N., Kamp E. T., Manoli C. C., Zacharia Z. C., Tsourlidaki E. Phases of inquiry-based learning: Definitions and the inquiry cycle // Educational Research Review. 2015. Vol. 14. P. 47–61</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50"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sciencedirect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science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pii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w:t>
        </w:r>
        <w:r w:rsidRPr="003D4875">
          <w:rPr>
            <w:rStyle w:val="a9"/>
            <w:rFonts w:ascii="Times New Roman" w:hAnsi="Times New Roman" w:cs="Times New Roman"/>
            <w:sz w:val="28"/>
            <w:szCs w:val="28"/>
          </w:rPr>
          <w:t>1747938</w:t>
        </w:r>
        <w:r w:rsidRPr="003D4875">
          <w:rPr>
            <w:rStyle w:val="a9"/>
            <w:rFonts w:ascii="Times New Roman" w:hAnsi="Times New Roman" w:cs="Times New Roman"/>
            <w:sz w:val="28"/>
            <w:szCs w:val="28"/>
            <w:lang w:val="en-US"/>
          </w:rPr>
          <w:t>X</w:t>
        </w:r>
        <w:r w:rsidRPr="003D4875">
          <w:rPr>
            <w:rStyle w:val="a9"/>
            <w:rFonts w:ascii="Times New Roman" w:hAnsi="Times New Roman" w:cs="Times New Roman"/>
            <w:sz w:val="28"/>
            <w:szCs w:val="28"/>
          </w:rPr>
          <w:t>15000068</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1DD18405"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Pellikka A., Nylén T., Hirvensalo V., Hynynen L., Lutovac S., Muukkonen P. Understanding teachers' perceptions of geomedia: Concerns about students’ critical literacy // Teaching and Teacher Education. 2024. </w:t>
      </w:r>
      <w:r w:rsidRPr="003D4875">
        <w:rPr>
          <w:rFonts w:ascii="Times New Roman" w:hAnsi="Times New Roman" w:cs="Times New Roman"/>
          <w:sz w:val="28"/>
          <w:szCs w:val="28"/>
          <w:lang w:val="en-US"/>
        </w:rPr>
        <w:t xml:space="preserve">URL: </w:t>
      </w:r>
      <w:hyperlink r:id="rId51" w:history="1">
        <w:r w:rsidRPr="003D4875">
          <w:rPr>
            <w:rStyle w:val="a9"/>
            <w:rFonts w:ascii="Times New Roman" w:hAnsi="Times New Roman" w:cs="Times New Roman"/>
            <w:sz w:val="28"/>
            <w:szCs w:val="28"/>
            <w:lang w:val="en-US"/>
          </w:rPr>
          <w:t>https://oulurepo.oulu.fi/handle/10024/49037</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09C2720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en-US"/>
        </w:rPr>
        <w:t>Pisa</w:t>
      </w:r>
      <w:r w:rsidRPr="003D4875">
        <w:rPr>
          <w:rFonts w:ascii="Times New Roman" w:hAnsi="Times New Roman" w:cs="Times New Roman"/>
          <w:sz w:val="28"/>
          <w:szCs w:val="28"/>
          <w:lang w:val="uk-UA"/>
        </w:rPr>
        <w:t xml:space="preserve">-2022: Результати оприлюднено. Український центр оцінювання якості освіти.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52" w:history="1">
        <w:r w:rsidRPr="003D4875">
          <w:rPr>
            <w:rStyle w:val="a9"/>
            <w:rFonts w:ascii="Times New Roman" w:hAnsi="Times New Roman" w:cs="Times New Roman"/>
            <w:color w:val="auto"/>
            <w:sz w:val="28"/>
            <w:szCs w:val="28"/>
            <w:lang w:val="en-US"/>
          </w:rPr>
          <w:t>https</w:t>
        </w:r>
        <w:r w:rsidRPr="003D4875">
          <w:rPr>
            <w:rStyle w:val="a9"/>
            <w:rFonts w:ascii="Times New Roman" w:hAnsi="Times New Roman" w:cs="Times New Roman"/>
            <w:color w:val="auto"/>
            <w:sz w:val="28"/>
            <w:szCs w:val="28"/>
          </w:rPr>
          <w:t>://</w:t>
        </w:r>
        <w:r w:rsidRPr="003D4875">
          <w:rPr>
            <w:rStyle w:val="a9"/>
            <w:rFonts w:ascii="Times New Roman" w:hAnsi="Times New Roman" w:cs="Times New Roman"/>
            <w:color w:val="auto"/>
            <w:sz w:val="28"/>
            <w:szCs w:val="28"/>
            <w:lang w:val="en-US"/>
          </w:rPr>
          <w:t>testportal</w:t>
        </w:r>
        <w:r w:rsidRPr="003D4875">
          <w:rPr>
            <w:rStyle w:val="a9"/>
            <w:rFonts w:ascii="Times New Roman" w:hAnsi="Times New Roman" w:cs="Times New Roman"/>
            <w:color w:val="auto"/>
            <w:sz w:val="28"/>
            <w:szCs w:val="28"/>
          </w:rPr>
          <w:t>.</w:t>
        </w:r>
        <w:r w:rsidRPr="003D4875">
          <w:rPr>
            <w:rStyle w:val="a9"/>
            <w:rFonts w:ascii="Times New Roman" w:hAnsi="Times New Roman" w:cs="Times New Roman"/>
            <w:color w:val="auto"/>
            <w:sz w:val="28"/>
            <w:szCs w:val="28"/>
            <w:lang w:val="en-US"/>
          </w:rPr>
          <w:t>gov</w:t>
        </w:r>
        <w:r w:rsidRPr="003D4875">
          <w:rPr>
            <w:rStyle w:val="a9"/>
            <w:rFonts w:ascii="Times New Roman" w:hAnsi="Times New Roman" w:cs="Times New Roman"/>
            <w:color w:val="auto"/>
            <w:sz w:val="28"/>
            <w:szCs w:val="28"/>
          </w:rPr>
          <w:t>.</w:t>
        </w:r>
        <w:r w:rsidRPr="003D4875">
          <w:rPr>
            <w:rStyle w:val="a9"/>
            <w:rFonts w:ascii="Times New Roman" w:hAnsi="Times New Roman" w:cs="Times New Roman"/>
            <w:color w:val="auto"/>
            <w:sz w:val="28"/>
            <w:szCs w:val="28"/>
            <w:lang w:val="en-US"/>
          </w:rPr>
          <w:t>ua</w:t>
        </w:r>
        <w:r w:rsidRPr="003D4875">
          <w:rPr>
            <w:rStyle w:val="a9"/>
            <w:rFonts w:ascii="Times New Roman" w:hAnsi="Times New Roman" w:cs="Times New Roman"/>
            <w:color w:val="auto"/>
            <w:sz w:val="28"/>
            <w:szCs w:val="28"/>
          </w:rPr>
          <w:t>/</w:t>
        </w:r>
        <w:r w:rsidRPr="003D4875">
          <w:rPr>
            <w:rStyle w:val="a9"/>
            <w:rFonts w:ascii="Times New Roman" w:hAnsi="Times New Roman" w:cs="Times New Roman"/>
            <w:color w:val="auto"/>
            <w:sz w:val="28"/>
            <w:szCs w:val="28"/>
            <w:lang w:val="en-US"/>
          </w:rPr>
          <w:t>pisa</w:t>
        </w:r>
        <w:r w:rsidRPr="003D4875">
          <w:rPr>
            <w:rStyle w:val="a9"/>
            <w:rFonts w:ascii="Times New Roman" w:hAnsi="Times New Roman" w:cs="Times New Roman"/>
            <w:color w:val="auto"/>
            <w:sz w:val="28"/>
            <w:szCs w:val="28"/>
          </w:rPr>
          <w:t>-2022-</w:t>
        </w:r>
        <w:r w:rsidRPr="003D4875">
          <w:rPr>
            <w:rStyle w:val="a9"/>
            <w:rFonts w:ascii="Times New Roman" w:hAnsi="Times New Roman" w:cs="Times New Roman"/>
            <w:color w:val="auto"/>
            <w:sz w:val="28"/>
            <w:szCs w:val="28"/>
            <w:lang w:val="en-US"/>
          </w:rPr>
          <w:t>rezultaty</w:t>
        </w:r>
        <w:r w:rsidRPr="003D4875">
          <w:rPr>
            <w:rStyle w:val="a9"/>
            <w:rFonts w:ascii="Times New Roman" w:hAnsi="Times New Roman" w:cs="Times New Roman"/>
            <w:color w:val="auto"/>
            <w:sz w:val="28"/>
            <w:szCs w:val="28"/>
          </w:rPr>
          <w:t>-</w:t>
        </w:r>
        <w:r w:rsidRPr="003D4875">
          <w:rPr>
            <w:rStyle w:val="a9"/>
            <w:rFonts w:ascii="Times New Roman" w:hAnsi="Times New Roman" w:cs="Times New Roman"/>
            <w:color w:val="auto"/>
            <w:sz w:val="28"/>
            <w:szCs w:val="28"/>
            <w:lang w:val="en-US"/>
          </w:rPr>
          <w:t>oprylyudneno</w:t>
        </w:r>
        <w:r w:rsidRPr="003D4875">
          <w:rPr>
            <w:rStyle w:val="a9"/>
            <w:rFonts w:ascii="Times New Roman" w:hAnsi="Times New Roman" w:cs="Times New Roman"/>
            <w:color w:val="auto"/>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p>
    <w:p w14:paraId="039C876E"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Research review series: geography. </w:t>
      </w:r>
      <w:r w:rsidRPr="003D4875">
        <w:rPr>
          <w:rFonts w:ascii="Times New Roman" w:hAnsi="Times New Roman" w:cs="Times New Roman"/>
          <w:sz w:val="28"/>
          <w:szCs w:val="28"/>
          <w:lang w:val="en-US"/>
        </w:rPr>
        <w:t>Department of Edication. URL</w:t>
      </w:r>
      <w:r w:rsidRPr="003D4875">
        <w:rPr>
          <w:rFonts w:ascii="Times New Roman" w:hAnsi="Times New Roman" w:cs="Times New Roman"/>
          <w:sz w:val="28"/>
          <w:szCs w:val="28"/>
        </w:rPr>
        <w:t>:</w:t>
      </w:r>
      <w:r w:rsidRPr="003D4875">
        <w:rPr>
          <w:rFonts w:ascii="Times New Roman" w:hAnsi="Times New Roman" w:cs="Times New Roman"/>
          <w:sz w:val="28"/>
          <w:szCs w:val="28"/>
          <w:lang w:val="uk-UA"/>
        </w:rPr>
        <w:t xml:space="preserve"> </w:t>
      </w:r>
      <w:hyperlink r:id="rId53" w:history="1">
        <w:r w:rsidRPr="003D4875">
          <w:rPr>
            <w:rStyle w:val="a9"/>
            <w:rFonts w:ascii="Times New Roman" w:hAnsi="Times New Roman" w:cs="Times New Roman"/>
            <w:sz w:val="28"/>
            <w:szCs w:val="28"/>
            <w:lang w:val="uk-UA"/>
          </w:rPr>
          <w:t>https://www.gov.uk/government/publications/research-review-series-geography/research-review-series-geography</w:t>
        </w:r>
      </w:hyperlink>
      <w:r w:rsidRPr="003D4875">
        <w:rPr>
          <w:rFonts w:ascii="Times New Roman" w:hAnsi="Times New Roman" w:cs="Times New Roman"/>
          <w:sz w:val="28"/>
          <w:szCs w:val="28"/>
          <w:lang w:val="uk-UA"/>
        </w:rPr>
        <w:t xml:space="preserve"> (дата звернення: 24.03.2026)</w:t>
      </w:r>
    </w:p>
    <w:p w14:paraId="27042C21"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Route to Enquiry (for 16-18 Geography). </w:t>
      </w:r>
      <w:r w:rsidRPr="003D4875">
        <w:rPr>
          <w:rFonts w:ascii="Times New Roman" w:hAnsi="Times New Roman" w:cs="Times New Roman"/>
          <w:sz w:val="28"/>
          <w:szCs w:val="28"/>
          <w:lang w:val="en-US"/>
        </w:rPr>
        <w:t xml:space="preserve">Field Studies Council. URL: </w:t>
      </w:r>
      <w:hyperlink r:id="rId54" w:history="1">
        <w:r w:rsidRPr="003D4875">
          <w:rPr>
            <w:rStyle w:val="a9"/>
            <w:rFonts w:ascii="Times New Roman" w:hAnsi="Times New Roman" w:cs="Times New Roman"/>
            <w:sz w:val="28"/>
            <w:szCs w:val="28"/>
            <w:lang w:val="en-US"/>
          </w:rPr>
          <w:t>https://www.field-studies-council.org/resources/16-18-geography/route-to-enquiry/</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661DA50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Şahin B. Historical evolution of the regional understanding of geography curricula: tradition and change // Education and Science. 2025. Vol. 50, № 224. P. 199–226. URL: https://educationandscience.ted.org.tr/article/view/2496 (дата звернення: 24.03.2026)</w:t>
      </w:r>
    </w:p>
    <w:p w14:paraId="1A521DB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School geography: A critical survey of present day teaching methods // Nature. 1925. Vol. 116. P. 277. URL: </w:t>
      </w:r>
      <w:hyperlink r:id="rId55" w:history="1">
        <w:r w:rsidRPr="003D4875">
          <w:rPr>
            <w:rStyle w:val="a9"/>
            <w:rFonts w:ascii="Times New Roman" w:hAnsi="Times New Roman" w:cs="Times New Roman"/>
            <w:sz w:val="28"/>
            <w:szCs w:val="28"/>
            <w:lang w:val="uk-UA"/>
          </w:rPr>
          <w:t>https://www.nature.com/articles/116277d0</w:t>
        </w:r>
      </w:hyperlink>
      <w:r w:rsidRPr="003D4875">
        <w:rPr>
          <w:rFonts w:ascii="Times New Roman" w:hAnsi="Times New Roman" w:cs="Times New Roman"/>
          <w:sz w:val="28"/>
          <w:szCs w:val="28"/>
          <w:lang w:val="uk-UA"/>
        </w:rPr>
        <w:t xml:space="preserve"> (дата звернення: 24.03.2026)</w:t>
      </w:r>
    </w:p>
    <w:p w14:paraId="5B4A090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Schulze U., Gryl I., Kanwischer D. Spatial citizenship education and digital geomedia: Composing competences for teacher education and training // Journal of Geography in Higher Education. 2015. Vol. 39, № 3. P. 369–385.</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5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full</w:t>
        </w:r>
        <w:r w:rsidRPr="003D4875">
          <w:rPr>
            <w:rStyle w:val="a9"/>
            <w:rFonts w:ascii="Times New Roman" w:hAnsi="Times New Roman" w:cs="Times New Roman"/>
            <w:sz w:val="28"/>
            <w:szCs w:val="28"/>
          </w:rPr>
          <w:t>/10.1080/03098265.2015.1048506</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424A64A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Seow T., Chang J., Irvine K. N. Field-based inquiry as a signature pedagogy for geography in Singapore // Journal of Geography. 2019. Vol. 118, № 6. P. 227–237</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5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abs</w:t>
        </w:r>
        <w:r w:rsidRPr="003D4875">
          <w:rPr>
            <w:rStyle w:val="a9"/>
            <w:rFonts w:ascii="Times New Roman" w:hAnsi="Times New Roman" w:cs="Times New Roman"/>
            <w:sz w:val="28"/>
            <w:szCs w:val="28"/>
          </w:rPr>
          <w:t>/10.1080/00221341.2018.1561740</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3B04639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Škodová M. Students’ intrinsic motivation in the context of inquiry-based geography instruction // The New Educational Review. 2025.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5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czasopisma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marszalek</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uploads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periodicals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tner</w:t>
        </w:r>
        <w:r w:rsidRPr="003D4875">
          <w:rPr>
            <w:rStyle w:val="a9"/>
            <w:rFonts w:ascii="Times New Roman" w:hAnsi="Times New Roman" w:cs="Times New Roman"/>
            <w:sz w:val="28"/>
            <w:szCs w:val="28"/>
          </w:rPr>
          <w:t>/2025/</w:t>
        </w:r>
        <w:r w:rsidRPr="003D4875">
          <w:rPr>
            <w:rStyle w:val="a9"/>
            <w:rFonts w:ascii="Times New Roman" w:hAnsi="Times New Roman" w:cs="Times New Roman"/>
            <w:sz w:val="28"/>
            <w:szCs w:val="28"/>
            <w:lang w:val="en-US"/>
          </w:rPr>
          <w:t>tner</w:t>
        </w:r>
        <w:r w:rsidRPr="003D4875">
          <w:rPr>
            <w:rStyle w:val="a9"/>
            <w:rFonts w:ascii="Times New Roman" w:hAnsi="Times New Roman" w:cs="Times New Roman"/>
            <w:sz w:val="28"/>
            <w:szCs w:val="28"/>
          </w:rPr>
          <w:t>8207.</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326C5FA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Solem M., Boehm R. G. Research in geography education: Moving from declarations and road maps to actions // International Research in Geographical and Environmental Education. 2018. Vol. 27, № 3. P. 191–198.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59"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full</w:t>
        </w:r>
        <w:r w:rsidRPr="003D4875">
          <w:rPr>
            <w:rStyle w:val="a9"/>
            <w:rFonts w:ascii="Times New Roman" w:hAnsi="Times New Roman" w:cs="Times New Roman"/>
            <w:sz w:val="28"/>
            <w:szCs w:val="28"/>
            <w:lang w:val="uk-UA"/>
          </w:rPr>
          <w:t>/10.1080/10382046.2018.1493896</w:t>
        </w:r>
      </w:hyperlink>
      <w:r w:rsidRPr="003D4875">
        <w:rPr>
          <w:rFonts w:ascii="Times New Roman" w:hAnsi="Times New Roman" w:cs="Times New Roman"/>
          <w:sz w:val="28"/>
          <w:szCs w:val="28"/>
          <w:lang w:val="uk-UA"/>
        </w:rPr>
        <w:t xml:space="preserve"> (дата звернення: 24.03.2026)</w:t>
      </w:r>
    </w:p>
    <w:p w14:paraId="029F8449"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Stoltman J. P., Lidstone J., Kidman G. The 2016 International Charter on Geographical Education // International Research in Geographical and Environmental Education. 2017. Vol. 26, № 1. P. 1–2.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60"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full</w:t>
        </w:r>
        <w:r w:rsidRPr="003D4875">
          <w:rPr>
            <w:rStyle w:val="a9"/>
            <w:rFonts w:ascii="Times New Roman" w:hAnsi="Times New Roman" w:cs="Times New Roman"/>
            <w:sz w:val="28"/>
            <w:szCs w:val="28"/>
            <w:lang w:val="uk-UA"/>
          </w:rPr>
          <w:t>/10.1080/10382046.2017.1272849</w:t>
        </w:r>
      </w:hyperlink>
      <w:r w:rsidRPr="003D4875">
        <w:rPr>
          <w:rFonts w:ascii="Times New Roman" w:hAnsi="Times New Roman" w:cs="Times New Roman"/>
          <w:sz w:val="28"/>
          <w:szCs w:val="28"/>
          <w:lang w:val="uk-UA"/>
        </w:rPr>
        <w:t xml:space="preserve"> (дата звернення: 24.03.2026)</w:t>
      </w:r>
    </w:p>
    <w:p w14:paraId="3CA2917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STUDENT AGENCY FOR 2030 OECD Future of Education and Skills 2030. </w:t>
      </w:r>
      <w:r w:rsidRPr="003D4875">
        <w:rPr>
          <w:rFonts w:ascii="Times New Roman" w:hAnsi="Times New Roman" w:cs="Times New Roman"/>
          <w:sz w:val="28"/>
          <w:szCs w:val="28"/>
          <w:lang w:val="en-US"/>
        </w:rPr>
        <w:t>OECD</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6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oecd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content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dam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oecd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about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projects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-2040/</w:t>
        </w:r>
        <w:r w:rsidRPr="003D4875">
          <w:rPr>
            <w:rStyle w:val="a9"/>
            <w:rFonts w:ascii="Times New Roman" w:hAnsi="Times New Roman" w:cs="Times New Roman"/>
            <w:sz w:val="28"/>
            <w:szCs w:val="28"/>
            <w:lang w:val="en-US"/>
          </w:rPr>
          <w:t>concept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notes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Student</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Agency</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for</w:t>
        </w:r>
        <w:r w:rsidRPr="003D4875">
          <w:rPr>
            <w:rStyle w:val="a9"/>
            <w:rFonts w:ascii="Times New Roman" w:hAnsi="Times New Roman" w:cs="Times New Roman"/>
            <w:sz w:val="28"/>
            <w:szCs w:val="28"/>
          </w:rPr>
          <w:t>_2030_</w:t>
        </w:r>
        <w:r w:rsidRPr="003D4875">
          <w:rPr>
            <w:rStyle w:val="a9"/>
            <w:rFonts w:ascii="Times New Roman" w:hAnsi="Times New Roman" w:cs="Times New Roman"/>
            <w:sz w:val="28"/>
            <w:szCs w:val="28"/>
            <w:lang w:val="en-US"/>
          </w:rPr>
          <w:t>concept</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note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43B3CE9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t>Teaching</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and</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learning</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in</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specialised</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secondary</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education</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Ministry of Education and Science of Ukraine. URL</w:t>
      </w:r>
      <w:r w:rsidRPr="003D4875">
        <w:rPr>
          <w:rFonts w:ascii="Times New Roman" w:hAnsi="Times New Roman" w:cs="Times New Roman"/>
          <w:sz w:val="28"/>
          <w:szCs w:val="28"/>
        </w:rPr>
        <w:t xml:space="preserve">: </w:t>
      </w:r>
      <w:hyperlink r:id="rId6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eurydice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iea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the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national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system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of</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ukraine</w:t>
        </w:r>
        <w:r w:rsidRPr="003D4875">
          <w:rPr>
            <w:rStyle w:val="a9"/>
            <w:rFonts w:ascii="Times New Roman" w:hAnsi="Times New Roman" w:cs="Times New Roman"/>
            <w:sz w:val="28"/>
            <w:szCs w:val="28"/>
          </w:rPr>
          <w:t>/6-</w:t>
        </w:r>
        <w:r w:rsidRPr="003D4875">
          <w:rPr>
            <w:rStyle w:val="a9"/>
            <w:rFonts w:ascii="Times New Roman" w:hAnsi="Times New Roman" w:cs="Times New Roman"/>
            <w:sz w:val="28"/>
            <w:szCs w:val="28"/>
            <w:lang w:val="en-US"/>
          </w:rPr>
          <w:t>secondary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upper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secondary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lastRenderedPageBreak/>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post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secondary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tertiary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/6-2-</w:t>
        </w:r>
        <w:r w:rsidRPr="003D4875">
          <w:rPr>
            <w:rStyle w:val="a9"/>
            <w:rFonts w:ascii="Times New Roman" w:hAnsi="Times New Roman" w:cs="Times New Roman"/>
            <w:sz w:val="28"/>
            <w:szCs w:val="28"/>
            <w:lang w:val="en-US"/>
          </w:rPr>
          <w:t>teaching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learning</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6408419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The BSCS 5E Instructional Model: Origins and Effectiveness. </w:t>
      </w:r>
      <w:r w:rsidRPr="003D4875">
        <w:rPr>
          <w:rFonts w:ascii="Times New Roman" w:hAnsi="Times New Roman" w:cs="Times New Roman"/>
          <w:sz w:val="28"/>
          <w:szCs w:val="28"/>
          <w:lang w:val="en-US"/>
        </w:rPr>
        <w:t xml:space="preserve">BSCS Science Learning. URL: </w:t>
      </w:r>
      <w:hyperlink r:id="rId63" w:history="1">
        <w:r w:rsidRPr="003D4875">
          <w:rPr>
            <w:rStyle w:val="a9"/>
            <w:rFonts w:ascii="Times New Roman" w:hAnsi="Times New Roman" w:cs="Times New Roman"/>
            <w:sz w:val="28"/>
            <w:szCs w:val="28"/>
            <w:lang w:val="en-US"/>
          </w:rPr>
          <w:t>https://bscs.org/reports/the-bscs-5e-instructional-model-origins-and-effectiveness/</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2BC9A23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en-US"/>
        </w:rPr>
        <w:t>The</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importance</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of</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fieldwork</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Geographical Association. URL</w:t>
      </w:r>
      <w:r w:rsidRPr="003D4875">
        <w:rPr>
          <w:rFonts w:ascii="Times New Roman" w:hAnsi="Times New Roman" w:cs="Times New Roman"/>
          <w:sz w:val="28"/>
          <w:szCs w:val="28"/>
        </w:rPr>
        <w:t xml:space="preserve">: </w:t>
      </w:r>
      <w:hyperlink r:id="rId64"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uk</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initial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teacher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education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support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for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trainees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ects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learning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to</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teach</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secondary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subject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teaching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curriculum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knowledge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concepts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and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skills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geographical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practice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fieldwork</w:t>
        </w:r>
        <w:r w:rsidRPr="003D4875">
          <w:rPr>
            <w:rStyle w:val="a9"/>
            <w:rFonts w:ascii="Times New Roman" w:hAnsi="Times New Roman" w:cs="Times New Roman"/>
            <w:sz w:val="28"/>
            <w:szCs w:val="28"/>
          </w:rPr>
          <w:t>-2/</w:t>
        </w:r>
        <w:r w:rsidRPr="003D4875">
          <w:rPr>
            <w:rStyle w:val="a9"/>
            <w:rFonts w:ascii="Times New Roman" w:hAnsi="Times New Roman" w:cs="Times New Roman"/>
            <w:sz w:val="28"/>
            <w:szCs w:val="28"/>
            <w:lang w:val="en-US"/>
          </w:rPr>
          <w:t>fieldwork</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7161CA36"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The OECD Handbook for Innovative Learning Environments. </w:t>
      </w:r>
      <w:r w:rsidRPr="003D4875">
        <w:rPr>
          <w:rFonts w:ascii="Times New Roman" w:hAnsi="Times New Roman" w:cs="Times New Roman"/>
          <w:sz w:val="28"/>
          <w:szCs w:val="28"/>
          <w:lang w:val="en-US"/>
        </w:rPr>
        <w:t>OECD</w:t>
      </w:r>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65"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oecd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publications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the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oecd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handbook</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for</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innovative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learning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environments</w:t>
        </w:r>
        <w:r w:rsidRPr="003D4875">
          <w:rPr>
            <w:rStyle w:val="a9"/>
            <w:rFonts w:ascii="Times New Roman" w:hAnsi="Times New Roman" w:cs="Times New Roman"/>
            <w:sz w:val="28"/>
            <w:szCs w:val="28"/>
          </w:rPr>
          <w:t>_9789264277274-</w:t>
        </w:r>
        <w:r w:rsidRPr="003D4875">
          <w:rPr>
            <w:rStyle w:val="a9"/>
            <w:rFonts w:ascii="Times New Roman" w:hAnsi="Times New Roman" w:cs="Times New Roman"/>
            <w:sz w:val="28"/>
            <w:szCs w:val="28"/>
            <w:lang w:val="en-US"/>
          </w:rPr>
          <w:t>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html</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4F97617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The route for geographical enquiry. </w:t>
      </w:r>
      <w:r w:rsidRPr="003D4875">
        <w:rPr>
          <w:rFonts w:ascii="Times New Roman" w:hAnsi="Times New Roman" w:cs="Times New Roman"/>
          <w:sz w:val="28"/>
          <w:szCs w:val="28"/>
          <w:lang w:val="en-US"/>
        </w:rPr>
        <w:t xml:space="preserve">Geographical Association. URL: </w:t>
      </w:r>
      <w:hyperlink r:id="rId66" w:history="1">
        <w:r w:rsidRPr="003D4875">
          <w:rPr>
            <w:rStyle w:val="a9"/>
            <w:rFonts w:ascii="Times New Roman" w:hAnsi="Times New Roman" w:cs="Times New Roman"/>
            <w:sz w:val="28"/>
            <w:szCs w:val="28"/>
            <w:lang w:val="en-US"/>
          </w:rPr>
          <w:t>https://geography.org.uk/wp-content/uploads/2023/05/GA_ITE_SFT_Route_for_enquiry.pdf</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7D83092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Tomčíková I. Implementation of inquiry-based education in geography teaching – findings about teachers’ attitudes // Review of International Geographical Education Online (RIGEO). 2020. Vol. 10, Issue 4.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6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files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eric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fulltext</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EJ</w:t>
        </w:r>
        <w:r w:rsidRPr="003D4875">
          <w:rPr>
            <w:rStyle w:val="a9"/>
            <w:rFonts w:ascii="Times New Roman" w:hAnsi="Times New Roman" w:cs="Times New Roman"/>
            <w:sz w:val="28"/>
            <w:szCs w:val="28"/>
            <w:lang w:val="uk-UA"/>
          </w:rPr>
          <w:t>1293788.</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26.03.2026)</w:t>
      </w:r>
    </w:p>
    <w:p w14:paraId="27028E09"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Understand this learning area – Humanities and Social Sciences. </w:t>
      </w:r>
      <w:r w:rsidRPr="003D4875">
        <w:rPr>
          <w:rFonts w:ascii="Times New Roman" w:hAnsi="Times New Roman" w:cs="Times New Roman"/>
          <w:sz w:val="28"/>
          <w:szCs w:val="28"/>
          <w:lang w:val="en-US"/>
        </w:rPr>
        <w:t xml:space="preserve">Audtralian Curriculum. URL: </w:t>
      </w:r>
      <w:hyperlink r:id="rId68" w:history="1">
        <w:r w:rsidRPr="003D4875">
          <w:rPr>
            <w:rStyle w:val="a9"/>
            <w:rFonts w:ascii="Times New Roman" w:hAnsi="Times New Roman" w:cs="Times New Roman"/>
            <w:sz w:val="28"/>
            <w:szCs w:val="28"/>
            <w:lang w:val="en-US"/>
          </w:rPr>
          <w:t>https://www.australiancurriculum.edu.au/curriculum-information/understand-this-learning-area/humanities-and-social-sciences</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280FAEBC"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What is GeoCapabilities? </w:t>
      </w:r>
      <w:r w:rsidRPr="003D4875">
        <w:rPr>
          <w:rFonts w:ascii="Times New Roman" w:hAnsi="Times New Roman" w:cs="Times New Roman"/>
          <w:sz w:val="28"/>
          <w:szCs w:val="28"/>
          <w:lang w:val="en-US"/>
        </w:rPr>
        <w:t xml:space="preserve">GEOCapabilities. URL: </w:t>
      </w:r>
      <w:hyperlink r:id="rId69" w:history="1">
        <w:r w:rsidRPr="003D4875">
          <w:rPr>
            <w:rStyle w:val="a9"/>
            <w:rFonts w:ascii="Times New Roman" w:hAnsi="Times New Roman" w:cs="Times New Roman"/>
            <w:sz w:val="28"/>
            <w:szCs w:val="28"/>
            <w:lang w:val="en-US"/>
          </w:rPr>
          <w:t>https://www.geocapabilities.org/geocapabilities-3/geocapabilities/</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p>
    <w:p w14:paraId="7CAF365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What is geographical enquiry. </w:t>
      </w:r>
      <w:r w:rsidRPr="003D4875">
        <w:rPr>
          <w:rFonts w:ascii="Times New Roman" w:hAnsi="Times New Roman" w:cs="Times New Roman"/>
          <w:sz w:val="28"/>
          <w:szCs w:val="28"/>
          <w:lang w:val="en-US"/>
        </w:rPr>
        <w:t>Geographical Association. URL</w:t>
      </w:r>
      <w:r w:rsidRPr="003D4875">
        <w:rPr>
          <w:rFonts w:ascii="Times New Roman" w:hAnsi="Times New Roman" w:cs="Times New Roman"/>
          <w:sz w:val="28"/>
          <w:szCs w:val="28"/>
        </w:rPr>
        <w:t>:</w:t>
      </w:r>
      <w:r w:rsidRPr="003D4875">
        <w:rPr>
          <w:rFonts w:ascii="Times New Roman" w:hAnsi="Times New Roman" w:cs="Times New Roman"/>
          <w:sz w:val="28"/>
          <w:szCs w:val="28"/>
          <w:lang w:val="uk-UA"/>
        </w:rPr>
        <w:t xml:space="preserve"> </w:t>
      </w:r>
      <w:hyperlink r:id="rId70" w:history="1">
        <w:r w:rsidRPr="003D4875">
          <w:rPr>
            <w:rStyle w:val="a9"/>
            <w:rFonts w:ascii="Times New Roman" w:hAnsi="Times New Roman" w:cs="Times New Roman"/>
            <w:sz w:val="28"/>
            <w:szCs w:val="28"/>
            <w:lang w:val="uk-UA"/>
          </w:rPr>
          <w:t>https://geography.org.uk/ite/initial-teacher-education/geography-support-for-trainees-</w:t>
        </w:r>
        <w:r w:rsidRPr="003D4875">
          <w:rPr>
            <w:rStyle w:val="a9"/>
            <w:rFonts w:ascii="Times New Roman" w:hAnsi="Times New Roman" w:cs="Times New Roman"/>
            <w:sz w:val="28"/>
            <w:szCs w:val="28"/>
            <w:lang w:val="uk-UA"/>
          </w:rPr>
          <w:lastRenderedPageBreak/>
          <w:t>and-ects/learning-to-teach-secondary-geography/geography-subject-teaching-and-curriculum/geography-knowledge-concepts-and-skills/geographical-practice/geographical-enquiry-2/what-is-geographical-enquiry/</w:t>
        </w:r>
      </w:hyperlink>
      <w:r w:rsidRPr="003D4875">
        <w:rPr>
          <w:rFonts w:ascii="Times New Roman" w:hAnsi="Times New Roman" w:cs="Times New Roman"/>
          <w:sz w:val="28"/>
          <w:szCs w:val="28"/>
          <w:lang w:val="uk-UA"/>
        </w:rPr>
        <w:t xml:space="preserve"> (дата звернення: 24.03.2026)</w:t>
      </w:r>
    </w:p>
    <w:p w14:paraId="68C5865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Yee Sze Onn, Wong Poh Poh. Fieldwork in geography – importance, objectives and scope // Singapore Journal of Education. 1978. Vol. 1, № 1. P. 24–27.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7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www</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tandfonline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doi</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abs</w:t>
        </w:r>
        <w:r w:rsidRPr="003D4875">
          <w:rPr>
            <w:rStyle w:val="a9"/>
            <w:rFonts w:ascii="Times New Roman" w:hAnsi="Times New Roman" w:cs="Times New Roman"/>
            <w:sz w:val="28"/>
            <w:szCs w:val="28"/>
            <w:lang w:val="uk-UA"/>
          </w:rPr>
          <w:t>/10.1080/02188797808548515</w:t>
        </w:r>
      </w:hyperlink>
      <w:r w:rsidRPr="003D4875">
        <w:rPr>
          <w:rFonts w:ascii="Times New Roman" w:hAnsi="Times New Roman" w:cs="Times New Roman"/>
          <w:sz w:val="28"/>
          <w:szCs w:val="28"/>
          <w:lang w:val="uk-UA"/>
        </w:rPr>
        <w:t xml:space="preserve"> (дата звернення: 24.03.2026)</w:t>
      </w:r>
    </w:p>
    <w:p w14:paraId="7CBFC1D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Безпечне освітнє середовище: нові виміри безпеки. Державна служба якості освіти України.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7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sqe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bezpechne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osvitnie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seredovishhe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novi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vim</w:t>
        </w:r>
        <w:r w:rsidRPr="003D4875">
          <w:rPr>
            <w:rStyle w:val="a9"/>
            <w:rFonts w:ascii="Times New Roman" w:hAnsi="Times New Roman" w:cs="Times New Roman"/>
            <w:sz w:val="28"/>
            <w:szCs w:val="28"/>
          </w:rPr>
          <w:t>/</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637C808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Васьківська Г. О. Освітнє середовище як чинник формування життєпростору старшокласників.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7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/719930/1/</w:t>
        </w:r>
        <w:r w:rsidRPr="003D4875">
          <w:rPr>
            <w:rStyle w:val="a9"/>
            <w:rFonts w:ascii="Times New Roman" w:hAnsi="Times New Roman" w:cs="Times New Roman"/>
            <w:sz w:val="28"/>
            <w:szCs w:val="28"/>
            <w:lang w:val="en-US"/>
          </w:rPr>
          <w:t>VHO</w:t>
        </w:r>
        <w:r w:rsidRPr="003D4875">
          <w:rPr>
            <w:rStyle w:val="a9"/>
            <w:rFonts w:ascii="Times New Roman" w:hAnsi="Times New Roman" w:cs="Times New Roman"/>
            <w:sz w:val="28"/>
            <w:szCs w:val="28"/>
          </w:rPr>
          <w:t>%202020%2004%2007.</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3A5C1EC0" w14:textId="77777777" w:rsidR="004D658F" w:rsidRPr="004D658F"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Вербицький В. В. Дослідницька компетентність старшокласників як засіб формування особистості. Сучасний виховний процес: сутність та інноваційний потенціал Матеріали звіт. наук.-практ. конф. Ін-ту проблем виховання НАПН України за 2011 рік (2). Типовіт, м. Івано-Франківськ, Україна, с. 44-47.  </w:t>
      </w:r>
      <w:r w:rsidRPr="003D4875">
        <w:rPr>
          <w:rFonts w:ascii="Times New Roman" w:hAnsi="Times New Roman" w:cs="Times New Roman"/>
          <w:sz w:val="28"/>
          <w:szCs w:val="28"/>
          <w:lang w:val="en-US"/>
        </w:rPr>
        <w:t>URL</w:t>
      </w:r>
      <w:r w:rsidRPr="004D658F">
        <w:rPr>
          <w:rFonts w:ascii="Times New Roman" w:hAnsi="Times New Roman" w:cs="Times New Roman"/>
          <w:sz w:val="28"/>
          <w:szCs w:val="28"/>
        </w:rPr>
        <w:t xml:space="preserve">: </w:t>
      </w:r>
      <w:hyperlink r:id="rId74" w:history="1">
        <w:r w:rsidRPr="003D4875">
          <w:rPr>
            <w:rStyle w:val="a9"/>
            <w:rFonts w:ascii="Times New Roman" w:hAnsi="Times New Roman" w:cs="Times New Roman"/>
            <w:sz w:val="28"/>
            <w:szCs w:val="28"/>
            <w:lang w:val="en-US"/>
          </w:rPr>
          <w:t>https</w:t>
        </w:r>
        <w:r w:rsidRPr="004D658F">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4D658F">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4D658F">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4D658F">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4D658F">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4D658F">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4D658F">
          <w:rPr>
            <w:rStyle w:val="a9"/>
            <w:rFonts w:ascii="Times New Roman" w:hAnsi="Times New Roman" w:cs="Times New Roman"/>
            <w:sz w:val="28"/>
            <w:szCs w:val="28"/>
          </w:rPr>
          <w:t>/4453/1/</w:t>
        </w:r>
        <w:r w:rsidRPr="003D4875">
          <w:rPr>
            <w:rStyle w:val="a9"/>
            <w:rFonts w:ascii="Times New Roman" w:hAnsi="Times New Roman" w:cs="Times New Roman"/>
            <w:sz w:val="28"/>
            <w:szCs w:val="28"/>
            <w:lang w:val="en-US"/>
          </w:rPr>
          <w:t>Verbytskyi</w:t>
        </w:r>
        <w:r w:rsidRPr="004D658F">
          <w:rPr>
            <w:rStyle w:val="a9"/>
            <w:rFonts w:ascii="Times New Roman" w:hAnsi="Times New Roman" w:cs="Times New Roman"/>
            <w:sz w:val="28"/>
            <w:szCs w:val="28"/>
          </w:rPr>
          <w:t>_11.</w:t>
        </w:r>
        <w:r w:rsidRPr="003D4875">
          <w:rPr>
            <w:rStyle w:val="a9"/>
            <w:rFonts w:ascii="Times New Roman" w:hAnsi="Times New Roman" w:cs="Times New Roman"/>
            <w:sz w:val="28"/>
            <w:szCs w:val="28"/>
            <w:lang w:val="en-US"/>
          </w:rPr>
          <w:t>pdf</w:t>
        </w:r>
      </w:hyperlink>
      <w:r w:rsidRPr="004D658F">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4D658F">
        <w:rPr>
          <w:rFonts w:ascii="Times New Roman" w:hAnsi="Times New Roman" w:cs="Times New Roman"/>
          <w:sz w:val="28"/>
          <w:szCs w:val="28"/>
        </w:rPr>
        <w:t>)</w:t>
      </w:r>
    </w:p>
    <w:p w14:paraId="7B1485C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Вішнікіна Л. П. Компетентнісно-формувальний урок географії. Науковий вісник Херсонського державного університету. Вип. 5. 2016. с. 149-155.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75"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gj</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journal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kspu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php</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gj</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download</w:t>
        </w:r>
        <w:r w:rsidRPr="003D4875">
          <w:rPr>
            <w:rStyle w:val="a9"/>
            <w:rFonts w:ascii="Times New Roman" w:hAnsi="Times New Roman" w:cs="Times New Roman"/>
            <w:sz w:val="28"/>
            <w:szCs w:val="28"/>
          </w:rPr>
          <w:t>/198/192/</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5D5E632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rPr>
        <w:t>В</w:t>
      </w:r>
      <w:r w:rsidRPr="003D4875">
        <w:rPr>
          <w:rFonts w:ascii="Times New Roman" w:hAnsi="Times New Roman" w:cs="Times New Roman"/>
          <w:sz w:val="28"/>
          <w:szCs w:val="28"/>
          <w:lang w:val="uk-UA"/>
        </w:rPr>
        <w:t xml:space="preserve">ішнікіна Л. П. Компетентнісно-формувальний урок географії. Науковий вісник ХДУ Серія Географічні науки. Вип. 5. 2016. с. 140-155.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7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gj</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journal</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kspu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edu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php</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gj</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view</w:t>
        </w:r>
        <w:r w:rsidRPr="003D4875">
          <w:rPr>
            <w:rStyle w:val="a9"/>
            <w:rFonts w:ascii="Times New Roman" w:hAnsi="Times New Roman" w:cs="Times New Roman"/>
            <w:sz w:val="28"/>
            <w:szCs w:val="28"/>
            <w:lang w:val="uk-UA"/>
          </w:rPr>
          <w:t>/198/192</w:t>
        </w:r>
      </w:hyperlink>
      <w:r w:rsidRPr="003D4875">
        <w:rPr>
          <w:rFonts w:ascii="Times New Roman" w:hAnsi="Times New Roman" w:cs="Times New Roman"/>
          <w:sz w:val="28"/>
          <w:szCs w:val="28"/>
          <w:lang w:val="uk-UA"/>
        </w:rPr>
        <w:t xml:space="preserve"> (дата звернення: 26.03.2026)</w:t>
      </w:r>
    </w:p>
    <w:p w14:paraId="090E292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lastRenderedPageBreak/>
        <w:t xml:space="preserve">Державний стандарт базової середньої освіти. Міністерство освіти і науки України.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7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mon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osvita</w:t>
        </w:r>
        <w:r w:rsidRPr="003D4875">
          <w:rPr>
            <w:rStyle w:val="a9"/>
            <w:rFonts w:ascii="Times New Roman" w:hAnsi="Times New Roman" w:cs="Times New Roman"/>
            <w:sz w:val="28"/>
            <w:szCs w:val="28"/>
          </w:rPr>
          <w:t>-2/</w:t>
        </w:r>
        <w:r w:rsidRPr="003D4875">
          <w:rPr>
            <w:rStyle w:val="a9"/>
            <w:rFonts w:ascii="Times New Roman" w:hAnsi="Times New Roman" w:cs="Times New Roman"/>
            <w:sz w:val="28"/>
            <w:szCs w:val="28"/>
            <w:lang w:val="en-US"/>
          </w:rPr>
          <w:t>zagalna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serednya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osvita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nova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ukrainska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shkola</w:t>
        </w:r>
        <w:r w:rsidRPr="003D4875">
          <w:rPr>
            <w:rStyle w:val="a9"/>
            <w:rFonts w:ascii="Times New Roman" w:hAnsi="Times New Roman" w:cs="Times New Roman"/>
            <w:sz w:val="28"/>
            <w:szCs w:val="28"/>
          </w:rPr>
          <w:t>-2/</w:t>
        </w:r>
        <w:r w:rsidRPr="003D4875">
          <w:rPr>
            <w:rStyle w:val="a9"/>
            <w:rFonts w:ascii="Times New Roman" w:hAnsi="Times New Roman" w:cs="Times New Roman"/>
            <w:sz w:val="28"/>
            <w:szCs w:val="28"/>
            <w:lang w:val="en-US"/>
          </w:rPr>
          <w:t>derzhavniy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standart</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bazovoi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serednoi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osviti</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7F4EA006"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Державний стандарт базової середньої освіти: затв. постановою Кабінету Міністрів України від 30.09.2020 № 898.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7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osvita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legislation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Ser</w:t>
        </w:r>
        <w:r w:rsidRPr="003D4875">
          <w:rPr>
            <w:rStyle w:val="a9"/>
            <w:rFonts w:ascii="Times New Roman" w:hAnsi="Times New Roman" w:cs="Times New Roman"/>
            <w:sz w:val="28"/>
            <w:szCs w:val="28"/>
            <w:lang w:val="uk-UA"/>
          </w:rPr>
          <w:t>_</w:t>
        </w:r>
        <w:r w:rsidRPr="003D4875">
          <w:rPr>
            <w:rStyle w:val="a9"/>
            <w:rFonts w:ascii="Times New Roman" w:hAnsi="Times New Roman" w:cs="Times New Roman"/>
            <w:sz w:val="28"/>
            <w:szCs w:val="28"/>
            <w:lang w:val="en-US"/>
          </w:rPr>
          <w:t>osv</w:t>
        </w:r>
        <w:r w:rsidRPr="003D4875">
          <w:rPr>
            <w:rStyle w:val="a9"/>
            <w:rFonts w:ascii="Times New Roman" w:hAnsi="Times New Roman" w:cs="Times New Roman"/>
            <w:sz w:val="28"/>
            <w:szCs w:val="28"/>
            <w:lang w:val="uk-UA"/>
          </w:rPr>
          <w:t>/76886/</w:t>
        </w:r>
      </w:hyperlink>
      <w:r w:rsidRPr="003D4875">
        <w:rPr>
          <w:rFonts w:ascii="Times New Roman" w:hAnsi="Times New Roman" w:cs="Times New Roman"/>
          <w:sz w:val="28"/>
          <w:szCs w:val="28"/>
          <w:lang w:val="uk-UA"/>
        </w:rPr>
        <w:t xml:space="preserve"> (дата звернення: 26.03.2026)</w:t>
      </w:r>
    </w:p>
    <w:p w14:paraId="065E0FFA"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Жук Ю. О. Організація навчальної дослідницької діяльності у процесі викладання фізики в середній школі з використанням комп’ютерно-орієнтованих систем навчання. Наукові записки: Зб. наук. статей Національного пед. університету ім. М.П. Драгоманова. Вип. 12. с. 118-125.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79"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/3189/1/%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0%9</w:t>
        </w:r>
        <w:r w:rsidRPr="003D4875">
          <w:rPr>
            <w:rStyle w:val="a9"/>
            <w:rFonts w:ascii="Times New Roman" w:hAnsi="Times New Roman" w:cs="Times New Roman"/>
            <w:sz w:val="28"/>
            <w:szCs w:val="28"/>
            <w:lang w:val="en-US"/>
          </w:rPr>
          <w:t>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7%</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1%87%</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1%97_%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8%</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1%97_%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1%96.</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61979ECB"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Запотоцький С. П., Карпюк Г. І., Гладковський Р. В., Довгань А. І., Совенко В. В., Даценко Л. М., Назаренко Т. Г., Гільберг Т. Г., Савчук І. Г., Нікитчук А. В., Яценко В. С., Довгань Г. Д., Грома В. Д., Горовий О. В. Географія. 6–9 класи : модельна навчальна програма для закладів загальної середньої освіти. Київ : МОН України, 2021 (у ред. 2022). URL: </w:t>
      </w:r>
      <w:hyperlink r:id="rId80" w:history="1">
        <w:r w:rsidRPr="003D4875">
          <w:rPr>
            <w:rStyle w:val="a9"/>
            <w:rFonts w:ascii="Times New Roman" w:hAnsi="Times New Roman" w:cs="Times New Roman"/>
            <w:sz w:val="28"/>
            <w:szCs w:val="28"/>
            <w:lang w:val="uk-UA"/>
          </w:rPr>
          <w:t>https://mon.gov.ua/static-objects/mon/sites/1/zagalna%20serednya/Navchalni.prohramy/2025/modelna-programa-geografiia-6-9-klasi.pdf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p>
    <w:p w14:paraId="10B3BBB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Засєкіна Т.М. Інтеграція в шкільній природничій освіті: теорія і практика : монографія / Тетяна Миколаївна Засєкіна. – Київ: Педагогічна думка, 2020. – 400 с. –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8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lang w:val="uk-UA"/>
          </w:rPr>
          <w:t>/729967/3/</w:t>
        </w:r>
        <w:r w:rsidRPr="003D4875">
          <w:rPr>
            <w:rStyle w:val="a9"/>
            <w:rFonts w:ascii="Times New Roman" w:hAnsi="Times New Roman" w:cs="Times New Roman"/>
            <w:sz w:val="28"/>
            <w:szCs w:val="28"/>
            <w:lang w:val="en-US"/>
          </w:rPr>
          <w:t>monografiya</w:t>
        </w:r>
        <w:r w:rsidRPr="003D4875">
          <w:rPr>
            <w:rStyle w:val="a9"/>
            <w:rFonts w:ascii="Times New Roman" w:hAnsi="Times New Roman" w:cs="Times New Roman"/>
            <w:sz w:val="28"/>
            <w:szCs w:val="28"/>
            <w:lang w:val="uk-UA"/>
          </w:rPr>
          <w:t>_</w:t>
        </w:r>
        <w:r w:rsidRPr="003D4875">
          <w:rPr>
            <w:rStyle w:val="a9"/>
            <w:rFonts w:ascii="Times New Roman" w:hAnsi="Times New Roman" w:cs="Times New Roman"/>
            <w:sz w:val="28"/>
            <w:szCs w:val="28"/>
            <w:lang w:val="en-US"/>
          </w:rPr>
          <w:t>integrachia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24.03.2026)</w:t>
      </w:r>
    </w:p>
    <w:p w14:paraId="5A346F5C"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Ільченко О. Г. Умови дослідницької діяльності учнів у навчальному середовищі. Умови дослідницької діяльності учнів у навчальному середовищі. Постметодика. Вип. 5 (96). 2010.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8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/4423/</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28A0F224"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Інструктивно-методичні рекомендації щодо викладання навчальних предметів / інтегрованих курсів у закладах загальної середньої освіти у 2024/2025 навчальному році.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8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mon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static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objects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mon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uploads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public</w:t>
        </w:r>
        <w:r w:rsidRPr="003D4875">
          <w:rPr>
            <w:rStyle w:val="a9"/>
            <w:rFonts w:ascii="Times New Roman" w:hAnsi="Times New Roman" w:cs="Times New Roman"/>
            <w:sz w:val="28"/>
            <w:szCs w:val="28"/>
            <w:lang w:val="uk-UA"/>
          </w:rPr>
          <w:t>/66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ffe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4</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/66</w:t>
        </w:r>
        <w:r w:rsidRPr="003D4875">
          <w:rPr>
            <w:rStyle w:val="a9"/>
            <w:rFonts w:ascii="Times New Roman" w:hAnsi="Times New Roman" w:cs="Times New Roman"/>
            <w:sz w:val="28"/>
            <w:szCs w:val="28"/>
            <w:lang w:val="en-US"/>
          </w:rPr>
          <w:t>dffec</w:t>
        </w:r>
        <w:r w:rsidRPr="003D4875">
          <w:rPr>
            <w:rStyle w:val="a9"/>
            <w:rFonts w:ascii="Times New Roman" w:hAnsi="Times New Roman" w:cs="Times New Roman"/>
            <w:sz w:val="28"/>
            <w:szCs w:val="28"/>
            <w:lang w:val="uk-UA"/>
          </w:rPr>
          <w:t>4</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92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2958213439.</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24.03.2026)</w:t>
      </w:r>
    </w:p>
    <w:p w14:paraId="41762120"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Концепція навчання географії України в основній та старшій школі / за заг. ред. д-ра пед. наук О.М. Топузова та канд. пед. наук О.Ф. Надтоки. – К.: ТОВ «КОНВІ ПРІНТ», 2018. – 56 с.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84" w:history="1">
        <w:r w:rsidRPr="003D4875">
          <w:rPr>
            <w:rStyle w:val="a9"/>
            <w:rFonts w:ascii="Times New Roman" w:hAnsi="Times New Roman" w:cs="Times New Roman"/>
            <w:color w:val="auto"/>
            <w:sz w:val="28"/>
            <w:szCs w:val="28"/>
            <w:lang w:val="en-US"/>
          </w:rPr>
          <w:t>https</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lib</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iitta</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gov</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ua</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id</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eprint</w:t>
        </w:r>
        <w:r w:rsidRPr="003D4875">
          <w:rPr>
            <w:rStyle w:val="a9"/>
            <w:rFonts w:ascii="Times New Roman" w:hAnsi="Times New Roman" w:cs="Times New Roman"/>
            <w:color w:val="auto"/>
            <w:sz w:val="28"/>
            <w:szCs w:val="28"/>
            <w:lang w:val="uk-UA"/>
          </w:rPr>
          <w:t>/712571/1/%</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0%9</w:t>
        </w:r>
        <w:r w:rsidRPr="003D4875">
          <w:rPr>
            <w:rStyle w:val="a9"/>
            <w:rFonts w:ascii="Times New Roman" w:hAnsi="Times New Roman" w:cs="Times New Roman"/>
            <w:color w:val="auto"/>
            <w:sz w:val="28"/>
            <w:szCs w:val="28"/>
            <w:lang w:val="en-US"/>
          </w:rPr>
          <w:t>A</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BE</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BD</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1%86%</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5%</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BF</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1%86%</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1%96%</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w:t>
        </w:r>
        <w:r w:rsidRPr="003D4875">
          <w:rPr>
            <w:rStyle w:val="a9"/>
            <w:rFonts w:ascii="Times New Roman" w:hAnsi="Times New Roman" w:cs="Times New Roman"/>
            <w:color w:val="auto"/>
            <w:sz w:val="28"/>
            <w:szCs w:val="28"/>
            <w:lang w:val="en-US"/>
          </w:rPr>
          <w:t>F</w:t>
        </w:r>
        <w:r w:rsidRPr="003D4875">
          <w:rPr>
            <w:rStyle w:val="a9"/>
            <w:rFonts w:ascii="Times New Roman" w:hAnsi="Times New Roman" w:cs="Times New Roman"/>
            <w:color w:val="auto"/>
            <w:sz w:val="28"/>
            <w:szCs w:val="28"/>
            <w:lang w:val="uk-UA"/>
          </w:rPr>
          <w:t>%20%</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3%</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5%</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BE</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3%</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1%80%</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1%84%</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1%96%</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1%87%</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BD</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BE</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1%97%20%</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BE</w:t>
        </w:r>
        <w:r w:rsidRPr="003D4875">
          <w:rPr>
            <w:rStyle w:val="a9"/>
            <w:rFonts w:ascii="Times New Roman" w:hAnsi="Times New Roman" w:cs="Times New Roman"/>
            <w:color w:val="auto"/>
            <w:sz w:val="28"/>
            <w:szCs w:val="28"/>
            <w:lang w:val="uk-UA"/>
          </w:rPr>
          <w:t>%</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1%81%</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2%</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1%96%</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1%82%</w:t>
        </w:r>
        <w:r w:rsidRPr="003D4875">
          <w:rPr>
            <w:rStyle w:val="a9"/>
            <w:rFonts w:ascii="Times New Roman" w:hAnsi="Times New Roman" w:cs="Times New Roman"/>
            <w:color w:val="auto"/>
            <w:sz w:val="28"/>
            <w:szCs w:val="28"/>
            <w:lang w:val="en-US"/>
          </w:rPr>
          <w:t>D</w:t>
        </w:r>
        <w:r w:rsidRPr="003D4875">
          <w:rPr>
            <w:rStyle w:val="a9"/>
            <w:rFonts w:ascii="Times New Roman" w:hAnsi="Times New Roman" w:cs="Times New Roman"/>
            <w:color w:val="auto"/>
            <w:sz w:val="28"/>
            <w:szCs w:val="28"/>
            <w:lang w:val="uk-UA"/>
          </w:rPr>
          <w:t>0%</w:t>
        </w:r>
        <w:r w:rsidRPr="003D4875">
          <w:rPr>
            <w:rStyle w:val="a9"/>
            <w:rFonts w:ascii="Times New Roman" w:hAnsi="Times New Roman" w:cs="Times New Roman"/>
            <w:color w:val="auto"/>
            <w:sz w:val="28"/>
            <w:szCs w:val="28"/>
            <w:lang w:val="en-US"/>
          </w:rPr>
          <w:t>B</w:t>
        </w:r>
        <w:r w:rsidRPr="003D4875">
          <w:rPr>
            <w:rStyle w:val="a9"/>
            <w:rFonts w:ascii="Times New Roman" w:hAnsi="Times New Roman" w:cs="Times New Roman"/>
            <w:color w:val="auto"/>
            <w:sz w:val="28"/>
            <w:szCs w:val="28"/>
            <w:lang w:val="uk-UA"/>
          </w:rPr>
          <w:t>8.</w:t>
        </w:r>
        <w:r w:rsidRPr="003D4875">
          <w:rPr>
            <w:rStyle w:val="a9"/>
            <w:rFonts w:ascii="Times New Roman" w:hAnsi="Times New Roman" w:cs="Times New Roman"/>
            <w:color w:val="auto"/>
            <w:sz w:val="28"/>
            <w:szCs w:val="28"/>
            <w:lang w:val="en-US"/>
          </w:rPr>
          <w:t>pdf</w:t>
        </w:r>
      </w:hyperlink>
      <w:r w:rsidRPr="003D4875">
        <w:rPr>
          <w:rFonts w:ascii="Times New Roman" w:hAnsi="Times New Roman" w:cs="Times New Roman"/>
          <w:sz w:val="28"/>
          <w:szCs w:val="28"/>
          <w:lang w:val="uk-UA"/>
        </w:rPr>
        <w:t xml:space="preserve"> (дата звернення: 26.03.2026)</w:t>
      </w:r>
    </w:p>
    <w:p w14:paraId="6BE19E7E"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Мерзликін О. В. Дослідницькі компетентності з фізики старшокласників: структура, рівні, критерії сформованості. Збірник наукових праць Кам’янець-Подільського національного університету. Серія педагогічна. Вип. 20.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85"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/6543/1/</w:t>
        </w:r>
        <w:r w:rsidRPr="003D4875">
          <w:rPr>
            <w:rStyle w:val="a9"/>
            <w:rFonts w:ascii="Times New Roman" w:hAnsi="Times New Roman" w:cs="Times New Roman"/>
            <w:sz w:val="28"/>
            <w:szCs w:val="28"/>
            <w:lang w:val="en-US"/>
          </w:rPr>
          <w:t>Merzlykin</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Paper</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Kam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Pod</w:t>
        </w:r>
        <w:r w:rsidRPr="003D4875">
          <w:rPr>
            <w:rStyle w:val="a9"/>
            <w:rFonts w:ascii="Times New Roman" w:hAnsi="Times New Roman" w:cs="Times New Roman"/>
            <w:sz w:val="28"/>
            <w:szCs w:val="28"/>
          </w:rPr>
          <w:t>_2014.</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498A27C2"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Мерзликін О. В. Система дослідницьких компетентностей з фізики учнів старшої школи. Управління якістю підготовки майбутнього вчителя фізико-технологічного профілю . Кам’янець-Подільський національний університет імені Івана Огієнка, м. Кам’янець-Подільський, Україна.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8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/6544/1/</w:t>
        </w:r>
        <w:r w:rsidRPr="003D4875">
          <w:rPr>
            <w:rStyle w:val="a9"/>
            <w:rFonts w:ascii="Times New Roman" w:hAnsi="Times New Roman" w:cs="Times New Roman"/>
            <w:sz w:val="28"/>
            <w:szCs w:val="28"/>
            <w:lang w:val="en-US"/>
          </w:rPr>
          <w:t>Merzlykin</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Thesys</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Kam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Pod</w:t>
        </w:r>
        <w:r w:rsidRPr="003D4875">
          <w:rPr>
            <w:rStyle w:val="a9"/>
            <w:rFonts w:ascii="Times New Roman" w:hAnsi="Times New Roman" w:cs="Times New Roman"/>
            <w:sz w:val="28"/>
            <w:szCs w:val="28"/>
          </w:rPr>
          <w:t>_2014.</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4240B2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rPr>
        <w:lastRenderedPageBreak/>
        <w:t>Модельна навчальна програма «Географія. 6</w:t>
      </w:r>
      <w:r w:rsidRPr="003D4875">
        <w:rPr>
          <w:rFonts w:ascii="Times New Roman" w:hAnsi="Times New Roman" w:cs="Times New Roman"/>
          <w:sz w:val="28"/>
          <w:szCs w:val="28"/>
          <w:lang w:val="uk-UA"/>
        </w:rPr>
        <w:t>-</w:t>
      </w:r>
      <w:r w:rsidRPr="003D4875">
        <w:rPr>
          <w:rFonts w:ascii="Times New Roman" w:hAnsi="Times New Roman" w:cs="Times New Roman"/>
          <w:sz w:val="28"/>
          <w:szCs w:val="28"/>
        </w:rPr>
        <w:t xml:space="preserve">9 класи» для закладів загальної середньої освіти / С. П. Запотоцький та ін. </w:t>
      </w:r>
      <w:r w:rsidRPr="003D4875">
        <w:rPr>
          <w:rFonts w:ascii="Times New Roman" w:hAnsi="Times New Roman" w:cs="Times New Roman"/>
          <w:sz w:val="28"/>
          <w:szCs w:val="28"/>
          <w:lang w:val="uk-UA"/>
        </w:rPr>
        <w:t>–</w:t>
      </w:r>
      <w:r w:rsidRPr="003D4875">
        <w:rPr>
          <w:rFonts w:ascii="Times New Roman" w:hAnsi="Times New Roman" w:cs="Times New Roman"/>
          <w:sz w:val="28"/>
          <w:szCs w:val="28"/>
        </w:rPr>
        <w:t xml:space="preserve"> Рекомендовано МОН України (наказ від 12.07.2021 № 795, у редакції наказу від 11.04.2022 № 324).</w:t>
      </w:r>
      <w:r w:rsidRPr="003D4875">
        <w:rPr>
          <w:rFonts w:ascii="Times New Roman" w:hAnsi="Times New Roman" w:cs="Times New Roman"/>
          <w:sz w:val="28"/>
          <w:szCs w:val="28"/>
          <w:lang w:val="uk-UA"/>
        </w:rPr>
        <w:t xml:space="preserve">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8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osvita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doc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files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news</w:t>
        </w:r>
        <w:r w:rsidRPr="003D4875">
          <w:rPr>
            <w:rStyle w:val="a9"/>
            <w:rFonts w:ascii="Times New Roman" w:hAnsi="Times New Roman" w:cs="Times New Roman"/>
            <w:sz w:val="28"/>
            <w:szCs w:val="28"/>
          </w:rPr>
          <w:t>/863/86384/</w:t>
        </w:r>
        <w:r w:rsidRPr="003D4875">
          <w:rPr>
            <w:rStyle w:val="a9"/>
            <w:rFonts w:ascii="Times New Roman" w:hAnsi="Times New Roman" w:cs="Times New Roman"/>
            <w:sz w:val="28"/>
            <w:szCs w:val="28"/>
            <w:lang w:val="en-US"/>
          </w:rPr>
          <w:t>Geografiya</w:t>
        </w:r>
        <w:r w:rsidRPr="003D4875">
          <w:rPr>
            <w:rStyle w:val="a9"/>
            <w:rFonts w:ascii="Times New Roman" w:hAnsi="Times New Roman" w:cs="Times New Roman"/>
            <w:sz w:val="28"/>
            <w:szCs w:val="28"/>
          </w:rPr>
          <w:t>_6-9_</w:t>
        </w:r>
        <w:r w:rsidRPr="003D4875">
          <w:rPr>
            <w:rStyle w:val="a9"/>
            <w:rFonts w:ascii="Times New Roman" w:hAnsi="Times New Roman" w:cs="Times New Roman"/>
            <w:sz w:val="28"/>
            <w:szCs w:val="28"/>
            <w:lang w:val="en-US"/>
          </w:rPr>
          <w:t>kl</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Zapotockij</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S</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P</w:t>
        </w:r>
        <w:r w:rsidRPr="003D4875">
          <w:rPr>
            <w:rStyle w:val="a9"/>
            <w:rFonts w:ascii="Times New Roman" w:hAnsi="Times New Roman" w:cs="Times New Roman"/>
            <w:sz w:val="28"/>
            <w:szCs w:val="28"/>
          </w:rPr>
          <w:t>__</w:t>
        </w:r>
        <w:r w:rsidRPr="003D4875">
          <w:rPr>
            <w:rStyle w:val="a9"/>
            <w:rFonts w:ascii="Times New Roman" w:hAnsi="Times New Roman" w:cs="Times New Roman"/>
            <w:sz w:val="28"/>
            <w:szCs w:val="28"/>
            <w:lang w:val="en-US"/>
          </w:rPr>
          <w:t>ta</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in</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05CDA50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Мороз П. В. Дослідницька діяльність учнів в процесі навчання історії України: методичний посібник/ Мороз П. В. – К.: Педагогічна думка, 2012. – 128 с. –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88"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lang w:val="uk-UA"/>
          </w:rPr>
          <w:t>/1405/1/12-63.</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24.03.2026)</w:t>
      </w:r>
    </w:p>
    <w:p w14:paraId="3D41A62F"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Надтока В. О. Деякі аспекти реалізації компетентнісного підходу в процесі навчання географії України в основній школі. Український географічний журнал. №3. 2026. с. 84-92.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89"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/713962/1/</w:t>
        </w:r>
        <w:r w:rsidRPr="003D4875">
          <w:rPr>
            <w:rStyle w:val="a9"/>
            <w:rFonts w:ascii="Times New Roman" w:hAnsi="Times New Roman" w:cs="Times New Roman"/>
            <w:sz w:val="28"/>
            <w:szCs w:val="28"/>
            <w:lang w:val="en-US"/>
          </w:rPr>
          <w:t>ukrpj</w:t>
        </w:r>
        <w:r w:rsidRPr="003D4875">
          <w:rPr>
            <w:rStyle w:val="a9"/>
            <w:rFonts w:ascii="Times New Roman" w:hAnsi="Times New Roman" w:cs="Times New Roman"/>
            <w:sz w:val="28"/>
            <w:szCs w:val="28"/>
          </w:rPr>
          <w:t>_2016_3_11.</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1A913756"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Назаренко Т. Г. Методика навчання географії в профільній школі: теорія і практика: Монографія. – К.: Педагогічна думка, 2013. – 380 с. –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90"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lang w:val="uk-UA"/>
          </w:rPr>
          <w:t>/9886/1/</w:t>
        </w:r>
        <w:r w:rsidRPr="003D4875">
          <w:rPr>
            <w:rStyle w:val="a9"/>
            <w:rFonts w:ascii="Times New Roman" w:hAnsi="Times New Roman" w:cs="Times New Roman"/>
            <w:sz w:val="28"/>
            <w:szCs w:val="28"/>
            <w:lang w:val="en-US"/>
          </w:rPr>
          <w:t>Nazarenko</w:t>
        </w:r>
        <w:r w:rsidRPr="003D4875">
          <w:rPr>
            <w:rStyle w:val="a9"/>
            <w:rFonts w:ascii="Times New Roman" w:hAnsi="Times New Roman" w:cs="Times New Roman"/>
            <w:sz w:val="28"/>
            <w:szCs w:val="28"/>
            <w:lang w:val="uk-UA"/>
          </w:rPr>
          <w:t>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0%9</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8%</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0_%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1%87%</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lang w:val="uk-UA"/>
          </w:rPr>
          <w:t>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1%97_%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2_%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BF</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9_%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1%88%</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24.03.2026)</w:t>
      </w:r>
    </w:p>
    <w:p w14:paraId="5004A50C"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rPr>
        <w:t>Назаренко Т., Полтавченко Д. Досл</w:t>
      </w:r>
      <w:r w:rsidRPr="003D4875">
        <w:rPr>
          <w:rFonts w:ascii="Times New Roman" w:hAnsi="Times New Roman" w:cs="Times New Roman"/>
          <w:sz w:val="28"/>
          <w:szCs w:val="28"/>
          <w:lang w:val="uk-UA"/>
        </w:rPr>
        <w:t xml:space="preserve">ідження функції географічної складової в шкільних природничих інтегрованих курсах. Український педагогічний журнал. №3. 2022. с. 91-99.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9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uej</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undip</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php</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journal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view</w:t>
        </w:r>
        <w:r w:rsidRPr="003D4875">
          <w:rPr>
            <w:rStyle w:val="a9"/>
            <w:rFonts w:ascii="Times New Roman" w:hAnsi="Times New Roman" w:cs="Times New Roman"/>
            <w:sz w:val="28"/>
            <w:szCs w:val="28"/>
          </w:rPr>
          <w:t>/614/575</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D3CB026"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lastRenderedPageBreak/>
        <w:t xml:space="preserve">Науменко С. О. Технології оцінювання географічної компетентності учнів основної і старшої школи (результати анкетування вчителів).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9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/107027/1/%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A</w:t>
        </w:r>
        <w:r w:rsidRPr="003D4875">
          <w:rPr>
            <w:rStyle w:val="a9"/>
            <w:rFonts w:ascii="Times New Roman" w:hAnsi="Times New Roman" w:cs="Times New Roman"/>
            <w:sz w:val="28"/>
            <w:szCs w:val="28"/>
          </w:rPr>
          <w:t>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rPr>
          <w:t>_2013_%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0%9</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7C3E8621"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Науменко С. Рівень володіння географічно. компетентністю та її складовими в учнів основної та старшої школи (результати анкетування учнів). Збірник наукових праць. Ч. 1. 2014. с. 284-295.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9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paperity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org</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w:t>
        </w:r>
        <w:r w:rsidRPr="003D4875">
          <w:rPr>
            <w:rStyle w:val="a9"/>
            <w:rFonts w:ascii="Times New Roman" w:hAnsi="Times New Roman" w:cs="Times New Roman"/>
            <w:sz w:val="28"/>
            <w:szCs w:val="28"/>
          </w:rPr>
          <w:t>/292165932/</w:t>
        </w:r>
        <w:r w:rsidRPr="003D4875">
          <w:rPr>
            <w:rStyle w:val="a9"/>
            <w:rFonts w:ascii="Times New Roman" w:hAnsi="Times New Roman" w:cs="Times New Roman"/>
            <w:sz w:val="28"/>
            <w:szCs w:val="28"/>
            <w:lang w:val="en-US"/>
          </w:rPr>
          <w:t>riven</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volodinnia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geografichnoiu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kompetentnistiu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yiyi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skladovimi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uchniv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osnovnoyi</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ta</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05ACA88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Постанова Кабінету Міністрів України «Про деякі питання державних стандартів повної загальної середньої освіти» від 30.09.2020 № 898.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94"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ligazakon</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net</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document</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KP</w:t>
        </w:r>
        <w:r w:rsidRPr="003D4875">
          <w:rPr>
            <w:rStyle w:val="a9"/>
            <w:rFonts w:ascii="Times New Roman" w:hAnsi="Times New Roman" w:cs="Times New Roman"/>
            <w:sz w:val="28"/>
            <w:szCs w:val="28"/>
            <w:lang w:val="uk-UA"/>
          </w:rPr>
          <w:t>200898</w:t>
        </w:r>
      </w:hyperlink>
      <w:r w:rsidRPr="003D4875">
        <w:rPr>
          <w:rFonts w:ascii="Times New Roman" w:hAnsi="Times New Roman" w:cs="Times New Roman"/>
          <w:sz w:val="28"/>
          <w:szCs w:val="28"/>
          <w:lang w:val="uk-UA"/>
        </w:rPr>
        <w:t xml:space="preserve"> (дата звернення: 26.03.2026)</w:t>
      </w:r>
    </w:p>
    <w:p w14:paraId="4BC95B44"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Про внесення змін до типової освітньої програми для 5–9 класів закладів загальної середньої освіти : наказ Міністерства освіти і науки України від 09.08.2024 № 1120. URL: </w:t>
      </w:r>
      <w:hyperlink r:id="rId95" w:anchor="Text" w:history="1">
        <w:r w:rsidRPr="003D4875">
          <w:rPr>
            <w:rStyle w:val="a9"/>
            <w:rFonts w:ascii="Times New Roman" w:hAnsi="Times New Roman" w:cs="Times New Roman"/>
            <w:sz w:val="28"/>
            <w:szCs w:val="28"/>
            <w:lang w:val="uk-UA"/>
          </w:rPr>
          <w:t>https://zakon.rada.gov.ua/rada/show/v1120729-24#Text</w:t>
        </w:r>
      </w:hyperlink>
      <w:r w:rsidRPr="003D4875">
        <w:rPr>
          <w:rFonts w:ascii="Times New Roman" w:hAnsi="Times New Roman" w:cs="Times New Roman"/>
          <w:sz w:val="28"/>
          <w:szCs w:val="28"/>
          <w:lang w:val="uk-UA"/>
        </w:rPr>
        <w:t xml:space="preserve"> (дата звернення: 24.03.2026).</w:t>
      </w:r>
    </w:p>
    <w:p w14:paraId="06BF29F5"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Про затвердження типової освітньої програми для 5–9 класів закладів загальної середньої освіти : наказ Міністерства освіти і науки України від 19.02.2021 № 235. URL: </w:t>
      </w:r>
      <w:hyperlink r:id="rId96" w:anchor="Text" w:history="1">
        <w:r w:rsidRPr="003D4875">
          <w:rPr>
            <w:rStyle w:val="a9"/>
            <w:rFonts w:ascii="Times New Roman" w:hAnsi="Times New Roman" w:cs="Times New Roman"/>
            <w:sz w:val="28"/>
            <w:szCs w:val="28"/>
            <w:lang w:val="uk-UA"/>
          </w:rPr>
          <w:t>https://zakon.rada.gov.ua/rada/show/v0235729-21#Text</w:t>
        </w:r>
      </w:hyperlink>
      <w:r w:rsidRPr="003D4875">
        <w:rPr>
          <w:rFonts w:ascii="Times New Roman" w:hAnsi="Times New Roman" w:cs="Times New Roman"/>
          <w:sz w:val="28"/>
          <w:szCs w:val="28"/>
          <w:lang w:val="uk-UA"/>
        </w:rPr>
        <w:t xml:space="preserve"> (дата звернення: 24.03.2026).</w:t>
      </w:r>
    </w:p>
    <w:p w14:paraId="6EB93ED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Про освіту : Закон України від 05.09.2017 № 2145-VIII // Відомості Верховної Ради України. 2017. № 38–39. Ст. 380. URL: </w:t>
      </w:r>
      <w:hyperlink r:id="rId97" w:history="1">
        <w:r w:rsidRPr="003D4875">
          <w:rPr>
            <w:rStyle w:val="a9"/>
            <w:rFonts w:ascii="Times New Roman" w:hAnsi="Times New Roman" w:cs="Times New Roman"/>
            <w:sz w:val="28"/>
            <w:szCs w:val="28"/>
            <w:lang w:val="uk-UA"/>
          </w:rPr>
          <w:t>https://zakon.rada.gov.ua/go/2145-19</w:t>
        </w:r>
      </w:hyperlink>
      <w:r w:rsidRPr="003D4875">
        <w:rPr>
          <w:rFonts w:ascii="Times New Roman" w:hAnsi="Times New Roman" w:cs="Times New Roman"/>
          <w:sz w:val="28"/>
          <w:szCs w:val="28"/>
          <w:lang w:val="uk-UA"/>
        </w:rPr>
        <w:t xml:space="preserve"> (дата звернення: 24.03.2026).</w:t>
      </w:r>
    </w:p>
    <w:p w14:paraId="53ACD011"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Про повну загальну середню освіту : Закон України від 16.01.2020 № 463-</w:t>
      </w:r>
      <w:r w:rsidRPr="003D4875">
        <w:rPr>
          <w:rFonts w:ascii="Times New Roman" w:hAnsi="Times New Roman" w:cs="Times New Roman"/>
          <w:sz w:val="28"/>
          <w:szCs w:val="28"/>
        </w:rPr>
        <w:t>IX</w:t>
      </w:r>
      <w:r w:rsidRPr="003D4875">
        <w:rPr>
          <w:rFonts w:ascii="Times New Roman" w:hAnsi="Times New Roman" w:cs="Times New Roman"/>
          <w:sz w:val="28"/>
          <w:szCs w:val="28"/>
          <w:lang w:val="uk-UA"/>
        </w:rPr>
        <w:t xml:space="preserve"> // Відомості Верховної Ради України. </w:t>
      </w:r>
      <w:r w:rsidRPr="003D4875">
        <w:rPr>
          <w:rFonts w:ascii="Times New Roman" w:hAnsi="Times New Roman" w:cs="Times New Roman"/>
          <w:sz w:val="28"/>
          <w:szCs w:val="28"/>
        </w:rPr>
        <w:t xml:space="preserve">2020. № 31. Ст. 226. URL: </w:t>
      </w:r>
      <w:hyperlink r:id="rId98" w:history="1">
        <w:r w:rsidRPr="003D4875">
          <w:rPr>
            <w:rStyle w:val="a9"/>
            <w:rFonts w:ascii="Times New Roman" w:hAnsi="Times New Roman" w:cs="Times New Roman"/>
            <w:sz w:val="28"/>
            <w:szCs w:val="28"/>
          </w:rPr>
          <w:t>https://zakon.rada.gov.ua/go/463-20</w:t>
        </w:r>
      </w:hyperlink>
      <w:r w:rsidRPr="003D4875">
        <w:rPr>
          <w:rFonts w:ascii="Times New Roman" w:hAnsi="Times New Roman" w:cs="Times New Roman"/>
          <w:sz w:val="28"/>
          <w:szCs w:val="28"/>
        </w:rPr>
        <w:t xml:space="preserve"> (дата звернення: 24.03.2026).</w:t>
      </w:r>
    </w:p>
    <w:p w14:paraId="27B6EFB9"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en-US"/>
        </w:rPr>
      </w:pPr>
      <w:r w:rsidRPr="003D4875">
        <w:rPr>
          <w:rFonts w:ascii="Times New Roman" w:hAnsi="Times New Roman" w:cs="Times New Roman"/>
          <w:sz w:val="28"/>
          <w:szCs w:val="28"/>
          <w:lang w:val="uk-UA"/>
        </w:rPr>
        <w:t xml:space="preserve">С3 </w:t>
      </w:r>
      <w:r w:rsidRPr="003D4875">
        <w:rPr>
          <w:rFonts w:ascii="Times New Roman" w:hAnsi="Times New Roman" w:cs="Times New Roman"/>
          <w:sz w:val="28"/>
          <w:szCs w:val="28"/>
          <w:lang w:val="en-US"/>
        </w:rPr>
        <w:t>F</w:t>
      </w:r>
      <w:r w:rsidRPr="003D4875">
        <w:rPr>
          <w:rFonts w:ascii="Times New Roman" w:hAnsi="Times New Roman" w:cs="Times New Roman"/>
          <w:sz w:val="28"/>
          <w:szCs w:val="28"/>
          <w:lang w:val="uk-UA"/>
        </w:rPr>
        <w:t xml:space="preserve">ramework for </w:t>
      </w:r>
      <w:r w:rsidRPr="003D4875">
        <w:rPr>
          <w:rFonts w:ascii="Times New Roman" w:hAnsi="Times New Roman" w:cs="Times New Roman"/>
          <w:sz w:val="28"/>
          <w:szCs w:val="28"/>
          <w:lang w:val="en-US"/>
        </w:rPr>
        <w:t>S</w:t>
      </w:r>
      <w:r w:rsidRPr="003D4875">
        <w:rPr>
          <w:rFonts w:ascii="Times New Roman" w:hAnsi="Times New Roman" w:cs="Times New Roman"/>
          <w:sz w:val="28"/>
          <w:szCs w:val="28"/>
          <w:lang w:val="uk-UA"/>
        </w:rPr>
        <w:t xml:space="preserve">ocial studies state standards. </w:t>
      </w:r>
      <w:r w:rsidRPr="003D4875">
        <w:rPr>
          <w:rFonts w:ascii="Times New Roman" w:hAnsi="Times New Roman" w:cs="Times New Roman"/>
          <w:sz w:val="28"/>
          <w:szCs w:val="28"/>
          <w:lang w:val="en-US"/>
        </w:rPr>
        <w:t xml:space="preserve">College, career &amp; civic life. URL: </w:t>
      </w:r>
      <w:hyperlink r:id="rId99" w:history="1">
        <w:r w:rsidRPr="003D4875">
          <w:rPr>
            <w:rStyle w:val="a9"/>
            <w:rFonts w:ascii="Times New Roman" w:hAnsi="Times New Roman" w:cs="Times New Roman"/>
            <w:sz w:val="28"/>
            <w:szCs w:val="28"/>
            <w:lang w:val="en-US"/>
          </w:rPr>
          <w:t>https://www.socialstudies.org/sites/default/files/c3/C3-Framework-for-Social-Studies.pdf</w:t>
        </w:r>
      </w:hyperlink>
      <w:r w:rsidRPr="003D4875">
        <w:rPr>
          <w:rFonts w:ascii="Times New Roman" w:hAnsi="Times New Roman" w:cs="Times New Roman"/>
          <w:sz w:val="28"/>
          <w:szCs w:val="28"/>
          <w:lang w:val="en-US"/>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lang w:val="en-US"/>
        </w:rPr>
        <w:t>)</w:t>
      </w:r>
    </w:p>
    <w:p w14:paraId="301753F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lastRenderedPageBreak/>
        <w:t xml:space="preserve">Самойленко В. М. Викладання дидактики географії : Навчальний посібник / В. М. Самойленко, О. М. Топузов, Л. П. Вішнікіна, І. О. Діброва. – К.: ДП «Прінт Сервіс», 2016. – 240 с.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100"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geo</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knu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wp</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content</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uploads</w:t>
        </w:r>
        <w:r w:rsidRPr="003D4875">
          <w:rPr>
            <w:rStyle w:val="a9"/>
            <w:rFonts w:ascii="Times New Roman" w:hAnsi="Times New Roman" w:cs="Times New Roman"/>
            <w:sz w:val="28"/>
            <w:szCs w:val="28"/>
            <w:lang w:val="uk-UA"/>
          </w:rPr>
          <w:t>/2021/06/</w:t>
        </w:r>
        <w:r w:rsidRPr="003D4875">
          <w:rPr>
            <w:rStyle w:val="a9"/>
            <w:rFonts w:ascii="Times New Roman" w:hAnsi="Times New Roman" w:cs="Times New Roman"/>
            <w:sz w:val="28"/>
            <w:szCs w:val="28"/>
            <w:lang w:val="en-US"/>
          </w:rPr>
          <w:t>samoylenko</w:t>
        </w:r>
        <w:r w:rsidRPr="003D4875">
          <w:rPr>
            <w:rStyle w:val="a9"/>
            <w:rFonts w:ascii="Times New Roman" w:hAnsi="Times New Roman" w:cs="Times New Roman"/>
            <w:sz w:val="28"/>
            <w:szCs w:val="28"/>
            <w:lang w:val="uk-UA"/>
          </w:rPr>
          <w:t>_</w:t>
        </w:r>
        <w:r w:rsidRPr="003D4875">
          <w:rPr>
            <w:rStyle w:val="a9"/>
            <w:rFonts w:ascii="Times New Roman" w:hAnsi="Times New Roman" w:cs="Times New Roman"/>
            <w:sz w:val="28"/>
            <w:szCs w:val="28"/>
            <w:lang w:val="en-US"/>
          </w:rPr>
          <w:t>tupuzov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26.03.2026)</w:t>
      </w:r>
    </w:p>
    <w:p w14:paraId="09FDEB34"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Сембрат А. Л., Самойленко Н. І. Компетентнісний підхід у сучасному вітчизняному та зарубіжному освітньому просторі. Збірник наукових праць «Педагогічні науки». Том 2. №69. 2016. с. 134-137.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01"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journal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kspu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php</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view</w:t>
        </w:r>
        <w:r w:rsidRPr="003D4875">
          <w:rPr>
            <w:rStyle w:val="a9"/>
            <w:rFonts w:ascii="Times New Roman" w:hAnsi="Times New Roman" w:cs="Times New Roman"/>
            <w:sz w:val="28"/>
            <w:szCs w:val="28"/>
          </w:rPr>
          <w:t>/3313/2952</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6D34D8A5"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Сердюк Г. А. Teacher's research competence as the basis of successful organization of research-oriented learning in the scientific lyceum. Педагогіка і психологія сьогодення: теорія та практика: Збірник наукових робіт учасників міжнародної науково-практичної конференції (21–22 січня 2022 р., м. Одеса) . ГО «Південна фундація педагогіки», м. Одеса, Україна, с. 89-92.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102"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lang w:val="uk-UA"/>
          </w:rPr>
          <w:t>/734404/1/%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0%94%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8%</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0%20%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BC</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BF</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C</w:t>
        </w:r>
        <w:r w:rsidRPr="003D4875">
          <w:rPr>
            <w:rStyle w:val="a9"/>
            <w:rFonts w:ascii="Times New Roman" w:hAnsi="Times New Roman" w:cs="Times New Roman"/>
            <w:sz w:val="28"/>
            <w:szCs w:val="28"/>
            <w:lang w:val="uk-UA"/>
          </w:rPr>
          <w:t>%20%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1%87%</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8%</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lang w:val="uk-UA"/>
          </w:rPr>
          <w:t>.%20%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A</w:t>
        </w:r>
        <w:r w:rsidRPr="003D4875">
          <w:rPr>
            <w:rStyle w:val="a9"/>
            <w:rFonts w:ascii="Times New Roman" w:hAnsi="Times New Roman" w:cs="Times New Roman"/>
            <w:sz w:val="28"/>
            <w:szCs w:val="28"/>
            <w:lang w:val="uk-UA"/>
          </w:rPr>
          <w:t>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lang w:val="uk-UA"/>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1%8</w:t>
        </w:r>
        <w:r w:rsidRPr="003D4875">
          <w:rPr>
            <w:rStyle w:val="a9"/>
            <w:rFonts w:ascii="Times New Roman" w:hAnsi="Times New Roman" w:cs="Times New Roman"/>
            <w:sz w:val="28"/>
            <w:szCs w:val="28"/>
            <w:lang w:val="en-US"/>
          </w:rPr>
          <w:t>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lang w:val="uk-UA"/>
          </w:rPr>
          <w:t>%20%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0%93.%</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lang w:val="uk-UA"/>
          </w:rPr>
          <w:t>0%90..</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lang w:val="uk-UA"/>
        </w:rPr>
        <w:t xml:space="preserve"> (дата звернення: 24.03.2026)</w:t>
      </w:r>
    </w:p>
    <w:p w14:paraId="1F6818F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Соболик Т. Стратегічні підходи до моделювання виховної системи закладу освіти. Педагогічний вісник Поділля. Вип. 2. 2023. с. 23-27.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03"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znayshov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FR</w:t>
        </w:r>
        <w:r w:rsidRPr="003D4875">
          <w:rPr>
            <w:rStyle w:val="a9"/>
            <w:rFonts w:ascii="Times New Roman" w:hAnsi="Times New Roman" w:cs="Times New Roman"/>
            <w:sz w:val="28"/>
            <w:szCs w:val="28"/>
          </w:rPr>
          <w:t>/20378/</w:t>
        </w:r>
        <w:r w:rsidRPr="003D4875">
          <w:rPr>
            <w:rStyle w:val="a9"/>
            <w:rFonts w:ascii="Times New Roman" w:hAnsi="Times New Roman" w:cs="Times New Roman"/>
            <w:sz w:val="28"/>
            <w:szCs w:val="28"/>
            <w:lang w:val="en-US"/>
          </w:rPr>
          <w:t>Pedag</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visnik</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Podill</w:t>
        </w:r>
        <w:r w:rsidRPr="003D4875">
          <w:rPr>
            <w:rStyle w:val="a9"/>
            <w:rFonts w:ascii="Times New Roman" w:hAnsi="Times New Roman" w:cs="Times New Roman"/>
            <w:sz w:val="28"/>
            <w:szCs w:val="28"/>
          </w:rPr>
          <w:t>_2_2023-25-29.</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26.03.2026</w:t>
      </w:r>
      <w:r w:rsidRPr="003D4875">
        <w:rPr>
          <w:rFonts w:ascii="Times New Roman" w:hAnsi="Times New Roman" w:cs="Times New Roman"/>
          <w:sz w:val="28"/>
          <w:szCs w:val="28"/>
        </w:rPr>
        <w:t>)</w:t>
      </w:r>
    </w:p>
    <w:p w14:paraId="7792B2A3"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Топузов О., Вишнікіна Л. Структура предметної географічної компетентності учнів (рекомендації для вчителів географії) // Українська професійна освіта. 2018. № 1. С. 103–112.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04"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upepnpu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pnpu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edu</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view</w:t>
        </w:r>
        <w:r w:rsidRPr="003D4875">
          <w:rPr>
            <w:rStyle w:val="a9"/>
            <w:rFonts w:ascii="Times New Roman" w:hAnsi="Times New Roman" w:cs="Times New Roman"/>
            <w:sz w:val="28"/>
            <w:szCs w:val="28"/>
          </w:rPr>
          <w:t>/201323/201281</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51DC2188"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lastRenderedPageBreak/>
        <w:t xml:space="preserve">Фенцик О. М. Дослідницький підхід до проведення уроків української мови в початковій школі: сутність та шляхи реалізації. Педагогічна Академія: наукові записки. №16. 2025. 15 с.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05"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pedagogical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academy</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com</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php</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journal</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view</w:t>
        </w:r>
        <w:r w:rsidRPr="003D4875">
          <w:rPr>
            <w:rStyle w:val="a9"/>
            <w:rFonts w:ascii="Times New Roman" w:hAnsi="Times New Roman" w:cs="Times New Roman"/>
            <w:sz w:val="28"/>
            <w:szCs w:val="28"/>
          </w:rPr>
          <w:t>/793/683</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04FF443D"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lang w:val="uk-UA"/>
        </w:rPr>
      </w:pPr>
      <w:r w:rsidRPr="003D4875">
        <w:rPr>
          <w:rFonts w:ascii="Times New Roman" w:hAnsi="Times New Roman" w:cs="Times New Roman"/>
          <w:sz w:val="28"/>
          <w:szCs w:val="28"/>
          <w:lang w:val="uk-UA"/>
        </w:rPr>
        <w:t xml:space="preserve">Якимчук О. Компетентнісний підхід в освіті: українські реалії. Вища освіта України. №3. 2020. с. 19-25. </w:t>
      </w:r>
      <w:r w:rsidRPr="003D4875">
        <w:rPr>
          <w:rFonts w:ascii="Times New Roman" w:hAnsi="Times New Roman" w:cs="Times New Roman"/>
          <w:sz w:val="28"/>
          <w:szCs w:val="28"/>
          <w:lang w:val="en-US"/>
        </w:rPr>
        <w:t>URL</w:t>
      </w:r>
      <w:r w:rsidRPr="003D4875">
        <w:rPr>
          <w:rFonts w:ascii="Times New Roman" w:hAnsi="Times New Roman" w:cs="Times New Roman"/>
          <w:sz w:val="28"/>
          <w:szCs w:val="28"/>
          <w:lang w:val="uk-UA"/>
        </w:rPr>
        <w:t xml:space="preserve">: </w:t>
      </w:r>
      <w:hyperlink r:id="rId106"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journals</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udu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kyiv</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index</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php</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vou</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article</w:t>
        </w:r>
        <w:r w:rsidRPr="003D4875">
          <w:rPr>
            <w:rStyle w:val="a9"/>
            <w:rFonts w:ascii="Times New Roman" w:hAnsi="Times New Roman" w:cs="Times New Roman"/>
            <w:sz w:val="28"/>
            <w:szCs w:val="28"/>
            <w:lang w:val="uk-UA"/>
          </w:rPr>
          <w:t>/</w:t>
        </w:r>
        <w:r w:rsidRPr="003D4875">
          <w:rPr>
            <w:rStyle w:val="a9"/>
            <w:rFonts w:ascii="Times New Roman" w:hAnsi="Times New Roman" w:cs="Times New Roman"/>
            <w:sz w:val="28"/>
            <w:szCs w:val="28"/>
            <w:lang w:val="en-US"/>
          </w:rPr>
          <w:t>view</w:t>
        </w:r>
        <w:r w:rsidRPr="003D4875">
          <w:rPr>
            <w:rStyle w:val="a9"/>
            <w:rFonts w:ascii="Times New Roman" w:hAnsi="Times New Roman" w:cs="Times New Roman"/>
            <w:sz w:val="28"/>
            <w:szCs w:val="28"/>
            <w:lang w:val="uk-UA"/>
          </w:rPr>
          <w:t>/129/100</w:t>
        </w:r>
      </w:hyperlink>
      <w:r w:rsidRPr="003D4875">
        <w:rPr>
          <w:rFonts w:ascii="Times New Roman" w:hAnsi="Times New Roman" w:cs="Times New Roman"/>
          <w:sz w:val="28"/>
          <w:szCs w:val="28"/>
          <w:lang w:val="uk-UA"/>
        </w:rPr>
        <w:t xml:space="preserve"> (дата звернення: 24.03.2026)</w:t>
      </w:r>
    </w:p>
    <w:p w14:paraId="4FE985DE" w14:textId="77777777" w:rsidR="004D658F" w:rsidRPr="003D4875" w:rsidRDefault="004D658F" w:rsidP="004D658F">
      <w:pPr>
        <w:pStyle w:val="a7"/>
        <w:numPr>
          <w:ilvl w:val="0"/>
          <w:numId w:val="12"/>
        </w:numPr>
        <w:spacing w:after="0" w:line="360" w:lineRule="auto"/>
        <w:ind w:left="0" w:firstLine="709"/>
        <w:jc w:val="both"/>
        <w:rPr>
          <w:rFonts w:ascii="Times New Roman" w:hAnsi="Times New Roman" w:cs="Times New Roman"/>
          <w:sz w:val="28"/>
          <w:szCs w:val="28"/>
        </w:rPr>
      </w:pPr>
      <w:r w:rsidRPr="003D4875">
        <w:rPr>
          <w:rFonts w:ascii="Times New Roman" w:hAnsi="Times New Roman" w:cs="Times New Roman"/>
          <w:sz w:val="28"/>
          <w:szCs w:val="28"/>
          <w:lang w:val="uk-UA"/>
        </w:rPr>
        <w:t xml:space="preserve">Яценко В. С. Дослідження як метод, який збагачує досвід учнівської молоді. 11th edition International Scientific-Practical Conference «Training by research for a prosperous society». 2024. </w:t>
      </w:r>
      <w:r w:rsidRPr="003D4875">
        <w:rPr>
          <w:rFonts w:ascii="Times New Roman" w:hAnsi="Times New Roman" w:cs="Times New Roman"/>
          <w:sz w:val="28"/>
          <w:szCs w:val="28"/>
          <w:lang w:val="en-US"/>
        </w:rPr>
        <w:t>URL</w:t>
      </w:r>
      <w:r w:rsidRPr="003D4875">
        <w:rPr>
          <w:rFonts w:ascii="Times New Roman" w:hAnsi="Times New Roman" w:cs="Times New Roman"/>
          <w:sz w:val="28"/>
          <w:szCs w:val="28"/>
        </w:rPr>
        <w:t xml:space="preserve">: </w:t>
      </w:r>
      <w:hyperlink r:id="rId107" w:history="1">
        <w:r w:rsidRPr="003D4875">
          <w:rPr>
            <w:rStyle w:val="a9"/>
            <w:rFonts w:ascii="Times New Roman" w:hAnsi="Times New Roman" w:cs="Times New Roman"/>
            <w:sz w:val="28"/>
            <w:szCs w:val="28"/>
            <w:lang w:val="en-US"/>
          </w:rPr>
          <w:t>https</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lib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iitta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gov</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ua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id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eprint</w:t>
        </w:r>
        <w:r w:rsidRPr="003D4875">
          <w:rPr>
            <w:rStyle w:val="a9"/>
            <w:rFonts w:ascii="Times New Roman" w:hAnsi="Times New Roman" w:cs="Times New Roman"/>
            <w:sz w:val="28"/>
            <w:szCs w:val="28"/>
          </w:rPr>
          <w:t>/741323/1/</w:t>
        </w:r>
        <w:r w:rsidRPr="003D4875">
          <w:rPr>
            <w:rStyle w:val="a9"/>
            <w:rFonts w:ascii="Times New Roman" w:hAnsi="Times New Roman" w:cs="Times New Roman"/>
            <w:sz w:val="28"/>
            <w:szCs w:val="28"/>
            <w:lang w:val="en-US"/>
          </w:rPr>
          <w:t>CZU</w:t>
        </w:r>
        <w:r w:rsidRPr="003D4875">
          <w:rPr>
            <w:rStyle w:val="a9"/>
            <w:rFonts w:ascii="Times New Roman" w:hAnsi="Times New Roman" w:cs="Times New Roman"/>
            <w:sz w:val="28"/>
            <w:szCs w:val="28"/>
          </w:rPr>
          <w:t>%2037.022%28470%29_%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AF</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0%92%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A</w:t>
        </w:r>
        <w:r w:rsidRPr="003D4875">
          <w:rPr>
            <w:rStyle w:val="a9"/>
            <w:rFonts w:ascii="Times New Roman" w:hAnsi="Times New Roman" w:cs="Times New Roman"/>
            <w:sz w:val="28"/>
            <w:szCs w:val="28"/>
          </w:rPr>
          <w:t>1_%</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0%94%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1%81%</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BB</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1%96%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4%</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6%</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BD</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rPr>
          <w:t>%20%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w:t>
        </w:r>
        <w:r w:rsidRPr="003D4875">
          <w:rPr>
            <w:rStyle w:val="a9"/>
            <w:rFonts w:ascii="Times New Roman" w:hAnsi="Times New Roman" w:cs="Times New Roman"/>
            <w:sz w:val="28"/>
            <w:szCs w:val="28"/>
            <w:lang w:val="en-US"/>
          </w:rPr>
          <w:t>F</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BA</w:t>
        </w:r>
        <w:r w:rsidRPr="003D4875">
          <w:rPr>
            <w:rStyle w:val="a9"/>
            <w:rFonts w:ascii="Times New Roman" w:hAnsi="Times New Roman" w:cs="Times New Roman"/>
            <w:sz w:val="28"/>
            <w:szCs w:val="28"/>
          </w:rPr>
          <w:t>%20%</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BC</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5%</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1%82%</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BE</w:t>
        </w:r>
        <w:r w:rsidRPr="003D4875">
          <w:rPr>
            <w:rStyle w:val="a9"/>
            <w:rFonts w:ascii="Times New Roman" w:hAnsi="Times New Roman" w:cs="Times New Roman"/>
            <w:sz w:val="28"/>
            <w:szCs w:val="28"/>
          </w:rPr>
          <w:t>%</w:t>
        </w:r>
        <w:r w:rsidRPr="003D4875">
          <w:rPr>
            <w:rStyle w:val="a9"/>
            <w:rFonts w:ascii="Times New Roman" w:hAnsi="Times New Roman" w:cs="Times New Roman"/>
            <w:sz w:val="28"/>
            <w:szCs w:val="28"/>
            <w:lang w:val="en-US"/>
          </w:rPr>
          <w:t>D</w:t>
        </w:r>
        <w:r w:rsidRPr="003D4875">
          <w:rPr>
            <w:rStyle w:val="a9"/>
            <w:rFonts w:ascii="Times New Roman" w:hAnsi="Times New Roman" w:cs="Times New Roman"/>
            <w:sz w:val="28"/>
            <w:szCs w:val="28"/>
          </w:rPr>
          <w:t>0%</w:t>
        </w:r>
        <w:r w:rsidRPr="003D4875">
          <w:rPr>
            <w:rStyle w:val="a9"/>
            <w:rFonts w:ascii="Times New Roman" w:hAnsi="Times New Roman" w:cs="Times New Roman"/>
            <w:sz w:val="28"/>
            <w:szCs w:val="28"/>
            <w:lang w:val="en-US"/>
          </w:rPr>
          <w:t>B</w:t>
        </w:r>
        <w:r w:rsidRPr="003D4875">
          <w:rPr>
            <w:rStyle w:val="a9"/>
            <w:rFonts w:ascii="Times New Roman" w:hAnsi="Times New Roman" w:cs="Times New Roman"/>
            <w:sz w:val="28"/>
            <w:szCs w:val="28"/>
          </w:rPr>
          <w:t>4.</w:t>
        </w:r>
        <w:r w:rsidRPr="003D4875">
          <w:rPr>
            <w:rStyle w:val="a9"/>
            <w:rFonts w:ascii="Times New Roman" w:hAnsi="Times New Roman" w:cs="Times New Roman"/>
            <w:sz w:val="28"/>
            <w:szCs w:val="28"/>
            <w:lang w:val="en-US"/>
          </w:rPr>
          <w:t>pdf</w:t>
        </w:r>
      </w:hyperlink>
      <w:r w:rsidRPr="003D4875">
        <w:rPr>
          <w:rFonts w:ascii="Times New Roman" w:hAnsi="Times New Roman" w:cs="Times New Roman"/>
          <w:sz w:val="28"/>
          <w:szCs w:val="28"/>
        </w:rPr>
        <w:t xml:space="preserve"> (</w:t>
      </w:r>
      <w:r w:rsidRPr="003D4875">
        <w:rPr>
          <w:rFonts w:ascii="Times New Roman" w:hAnsi="Times New Roman" w:cs="Times New Roman"/>
          <w:sz w:val="28"/>
          <w:szCs w:val="28"/>
          <w:lang w:val="uk-UA"/>
        </w:rPr>
        <w:t>дата звернення: 24.03.2026</w:t>
      </w:r>
      <w:r w:rsidRPr="003D4875">
        <w:rPr>
          <w:rFonts w:ascii="Times New Roman" w:hAnsi="Times New Roman" w:cs="Times New Roman"/>
          <w:sz w:val="28"/>
          <w:szCs w:val="28"/>
        </w:rPr>
        <w:t>)</w:t>
      </w:r>
    </w:p>
    <w:p w14:paraId="1EF91D74" w14:textId="4F57058F" w:rsidR="004D658F" w:rsidRDefault="004D658F" w:rsidP="004D658F">
      <w:pPr>
        <w:spacing w:after="0" w:line="360" w:lineRule="auto"/>
        <w:jc w:val="center"/>
        <w:rPr>
          <w:rFonts w:ascii="Times New Roman" w:hAnsi="Times New Roman" w:cs="Times New Roman"/>
          <w:sz w:val="28"/>
          <w:szCs w:val="28"/>
        </w:rPr>
      </w:pPr>
    </w:p>
    <w:p w14:paraId="587D11F8" w14:textId="51273AD3" w:rsidR="004D658F" w:rsidRDefault="004D658F" w:rsidP="004D658F">
      <w:pPr>
        <w:spacing w:after="0" w:line="360" w:lineRule="auto"/>
        <w:jc w:val="center"/>
        <w:rPr>
          <w:rFonts w:ascii="Times New Roman" w:hAnsi="Times New Roman" w:cs="Times New Roman"/>
          <w:sz w:val="28"/>
          <w:szCs w:val="28"/>
        </w:rPr>
      </w:pPr>
    </w:p>
    <w:p w14:paraId="6908816C" w14:textId="065A0519" w:rsidR="004D658F" w:rsidRDefault="004D658F" w:rsidP="004D658F">
      <w:pPr>
        <w:spacing w:after="0" w:line="360" w:lineRule="auto"/>
        <w:jc w:val="center"/>
        <w:rPr>
          <w:rFonts w:ascii="Times New Roman" w:hAnsi="Times New Roman" w:cs="Times New Roman"/>
          <w:sz w:val="28"/>
          <w:szCs w:val="28"/>
        </w:rPr>
      </w:pPr>
    </w:p>
    <w:p w14:paraId="46824308" w14:textId="0E527788" w:rsidR="004D658F" w:rsidRDefault="004D658F" w:rsidP="004D658F">
      <w:pPr>
        <w:spacing w:after="0" w:line="360" w:lineRule="auto"/>
        <w:jc w:val="center"/>
        <w:rPr>
          <w:rFonts w:ascii="Times New Roman" w:hAnsi="Times New Roman" w:cs="Times New Roman"/>
          <w:sz w:val="28"/>
          <w:szCs w:val="28"/>
        </w:rPr>
      </w:pPr>
    </w:p>
    <w:p w14:paraId="0CC045EC" w14:textId="474713F9" w:rsidR="004D658F" w:rsidRDefault="004D658F" w:rsidP="004D658F">
      <w:pPr>
        <w:spacing w:after="0" w:line="360" w:lineRule="auto"/>
        <w:jc w:val="center"/>
        <w:rPr>
          <w:rFonts w:ascii="Times New Roman" w:hAnsi="Times New Roman" w:cs="Times New Roman"/>
          <w:sz w:val="28"/>
          <w:szCs w:val="28"/>
        </w:rPr>
      </w:pPr>
    </w:p>
    <w:p w14:paraId="0CD61BDD" w14:textId="0CF7B00D" w:rsidR="004D658F" w:rsidRDefault="004D658F" w:rsidP="004D658F">
      <w:pPr>
        <w:spacing w:after="0" w:line="360" w:lineRule="auto"/>
        <w:jc w:val="center"/>
        <w:rPr>
          <w:rFonts w:ascii="Times New Roman" w:hAnsi="Times New Roman" w:cs="Times New Roman"/>
          <w:sz w:val="28"/>
          <w:szCs w:val="28"/>
        </w:rPr>
      </w:pPr>
    </w:p>
    <w:p w14:paraId="15299022" w14:textId="768B1EAC" w:rsidR="004D658F" w:rsidRDefault="004D658F" w:rsidP="004D658F">
      <w:pPr>
        <w:spacing w:after="0" w:line="360" w:lineRule="auto"/>
        <w:jc w:val="center"/>
        <w:rPr>
          <w:rFonts w:ascii="Times New Roman" w:hAnsi="Times New Roman" w:cs="Times New Roman"/>
          <w:sz w:val="28"/>
          <w:szCs w:val="28"/>
        </w:rPr>
      </w:pPr>
    </w:p>
    <w:p w14:paraId="5224A0C6" w14:textId="6238A22C" w:rsidR="004D658F" w:rsidRDefault="004D658F" w:rsidP="004D658F">
      <w:pPr>
        <w:spacing w:after="0" w:line="360" w:lineRule="auto"/>
        <w:jc w:val="center"/>
        <w:rPr>
          <w:rFonts w:ascii="Times New Roman" w:hAnsi="Times New Roman" w:cs="Times New Roman"/>
          <w:sz w:val="28"/>
          <w:szCs w:val="28"/>
        </w:rPr>
      </w:pPr>
    </w:p>
    <w:p w14:paraId="31B24E72" w14:textId="20784ACD" w:rsidR="004D658F" w:rsidRDefault="004D658F" w:rsidP="004D658F">
      <w:pPr>
        <w:spacing w:after="0" w:line="360" w:lineRule="auto"/>
        <w:jc w:val="center"/>
        <w:rPr>
          <w:rFonts w:ascii="Times New Roman" w:hAnsi="Times New Roman" w:cs="Times New Roman"/>
          <w:sz w:val="28"/>
          <w:szCs w:val="28"/>
        </w:rPr>
      </w:pPr>
    </w:p>
    <w:p w14:paraId="41DA56B7" w14:textId="703D85D1" w:rsidR="004D658F" w:rsidRDefault="004D658F" w:rsidP="004D658F">
      <w:pPr>
        <w:spacing w:after="0" w:line="360" w:lineRule="auto"/>
        <w:jc w:val="center"/>
        <w:rPr>
          <w:rFonts w:ascii="Times New Roman" w:hAnsi="Times New Roman" w:cs="Times New Roman"/>
          <w:sz w:val="28"/>
          <w:szCs w:val="28"/>
        </w:rPr>
      </w:pPr>
    </w:p>
    <w:p w14:paraId="03438CE1" w14:textId="51804138" w:rsidR="004D658F" w:rsidRDefault="004D658F" w:rsidP="004D658F">
      <w:pPr>
        <w:spacing w:after="0" w:line="360" w:lineRule="auto"/>
        <w:jc w:val="center"/>
        <w:rPr>
          <w:rFonts w:ascii="Times New Roman" w:hAnsi="Times New Roman" w:cs="Times New Roman"/>
          <w:sz w:val="28"/>
          <w:szCs w:val="28"/>
        </w:rPr>
      </w:pPr>
    </w:p>
    <w:p w14:paraId="4052E500" w14:textId="472811CF" w:rsidR="004D658F" w:rsidRDefault="004D658F" w:rsidP="004D658F">
      <w:pPr>
        <w:spacing w:after="0" w:line="360" w:lineRule="auto"/>
        <w:jc w:val="center"/>
        <w:rPr>
          <w:rFonts w:ascii="Times New Roman" w:hAnsi="Times New Roman" w:cs="Times New Roman"/>
          <w:sz w:val="28"/>
          <w:szCs w:val="28"/>
        </w:rPr>
      </w:pPr>
    </w:p>
    <w:p w14:paraId="673FFFBF" w14:textId="77777777" w:rsidR="004D658F" w:rsidRDefault="004D658F" w:rsidP="004D658F">
      <w:pPr>
        <w:spacing w:after="0" w:line="360" w:lineRule="auto"/>
        <w:jc w:val="center"/>
        <w:rPr>
          <w:rFonts w:ascii="Times New Roman" w:hAnsi="Times New Roman" w:cs="Times New Roman"/>
          <w:sz w:val="28"/>
          <w:szCs w:val="28"/>
        </w:rPr>
      </w:pPr>
    </w:p>
    <w:p w14:paraId="32B9AD46" w14:textId="18392E2C" w:rsidR="004D658F" w:rsidRDefault="004D658F" w:rsidP="004D658F">
      <w:pPr>
        <w:spacing w:after="0" w:line="360" w:lineRule="auto"/>
        <w:jc w:val="center"/>
        <w:rPr>
          <w:rFonts w:ascii="Times New Roman" w:hAnsi="Times New Roman" w:cs="Times New Roman"/>
          <w:sz w:val="28"/>
          <w:szCs w:val="28"/>
        </w:rPr>
      </w:pPr>
    </w:p>
    <w:p w14:paraId="76E9641F"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lastRenderedPageBreak/>
        <w:t>ДОДАТКИ</w:t>
      </w:r>
    </w:p>
    <w:p w14:paraId="72B2FF4E" w14:textId="77777777" w:rsidR="004D658F" w:rsidRPr="00645F71" w:rsidRDefault="004D658F" w:rsidP="004D658F">
      <w:pPr>
        <w:spacing w:after="0" w:line="360" w:lineRule="auto"/>
        <w:rPr>
          <w:rFonts w:ascii="Times New Roman" w:hAnsi="Times New Roman" w:cs="Times New Roman"/>
          <w:b/>
          <w:bCs/>
          <w:sz w:val="28"/>
          <w:szCs w:val="28"/>
          <w:lang w:val="uk-UA"/>
        </w:rPr>
      </w:pPr>
    </w:p>
    <w:p w14:paraId="57F951E4" w14:textId="77777777" w:rsidR="004D658F" w:rsidRPr="00645F71" w:rsidRDefault="004D658F" w:rsidP="004D658F">
      <w:pPr>
        <w:spacing w:after="0" w:line="360" w:lineRule="auto"/>
        <w:jc w:val="right"/>
        <w:rPr>
          <w:rFonts w:ascii="Times New Roman" w:hAnsi="Times New Roman" w:cs="Times New Roman"/>
          <w:sz w:val="28"/>
          <w:szCs w:val="28"/>
          <w:lang w:val="uk-UA"/>
        </w:rPr>
      </w:pPr>
      <w:r w:rsidRPr="00645F71">
        <w:rPr>
          <w:rFonts w:ascii="Times New Roman" w:hAnsi="Times New Roman" w:cs="Times New Roman"/>
          <w:sz w:val="28"/>
          <w:szCs w:val="28"/>
          <w:lang w:val="uk-UA"/>
        </w:rPr>
        <w:t>Додаток А</w:t>
      </w:r>
    </w:p>
    <w:p w14:paraId="12C769BA"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072FCC81"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Анкета для учнів щодо виявлення мотиваційного компонента сформованості географічних компетентностей</w:t>
      </w:r>
    </w:p>
    <w:p w14:paraId="4FC532BA" w14:textId="77777777" w:rsidR="004D658F" w:rsidRPr="00645F71" w:rsidRDefault="004D658F" w:rsidP="004D658F">
      <w:pPr>
        <w:spacing w:after="0" w:line="360" w:lineRule="auto"/>
        <w:rPr>
          <w:rFonts w:ascii="Times New Roman" w:hAnsi="Times New Roman" w:cs="Times New Roman"/>
          <w:b/>
          <w:bCs/>
          <w:sz w:val="28"/>
          <w:szCs w:val="28"/>
          <w:lang w:val="uk-UA"/>
        </w:rPr>
      </w:pPr>
    </w:p>
    <w:p w14:paraId="5B37D672" w14:textId="77777777" w:rsidR="004D658F" w:rsidRPr="00645F71" w:rsidRDefault="004D658F" w:rsidP="004D658F">
      <w:pPr>
        <w:spacing w:after="0" w:line="360" w:lineRule="auto"/>
        <w:ind w:firstLine="709"/>
        <w:jc w:val="both"/>
        <w:rPr>
          <w:rFonts w:ascii="Times New Roman" w:hAnsi="Times New Roman" w:cs="Times New Roman"/>
          <w:i/>
          <w:iCs/>
          <w:sz w:val="28"/>
          <w:szCs w:val="28"/>
          <w:lang w:val="uk-UA"/>
        </w:rPr>
      </w:pPr>
      <w:r w:rsidRPr="00645F71">
        <w:rPr>
          <w:rFonts w:ascii="Times New Roman" w:hAnsi="Times New Roman" w:cs="Times New Roman"/>
          <w:i/>
          <w:iCs/>
          <w:sz w:val="28"/>
          <w:szCs w:val="28"/>
          <w:lang w:val="uk-UA"/>
        </w:rPr>
        <w:t>Шановний учню / шановна ученице!</w:t>
      </w:r>
    </w:p>
    <w:p w14:paraId="082ABB32" w14:textId="77777777" w:rsidR="004D658F" w:rsidRPr="00645F71" w:rsidRDefault="004D658F" w:rsidP="004D658F">
      <w:pPr>
        <w:spacing w:after="0" w:line="360" w:lineRule="auto"/>
        <w:ind w:firstLine="709"/>
        <w:jc w:val="both"/>
        <w:rPr>
          <w:rFonts w:ascii="Times New Roman" w:hAnsi="Times New Roman" w:cs="Times New Roman"/>
          <w:i/>
          <w:iCs/>
          <w:sz w:val="28"/>
          <w:szCs w:val="28"/>
          <w:lang w:val="uk-UA"/>
        </w:rPr>
      </w:pPr>
      <w:r w:rsidRPr="00645F71">
        <w:rPr>
          <w:rFonts w:ascii="Times New Roman" w:hAnsi="Times New Roman" w:cs="Times New Roman"/>
          <w:i/>
          <w:iCs/>
          <w:sz w:val="28"/>
          <w:szCs w:val="28"/>
          <w:lang w:val="uk-UA"/>
        </w:rPr>
        <w:t>Прочитай уважно кожне твердження та обери один варіант відповіді, який найбільше відповідає твоїй думці. Анкета не має «правильних» або «неправильних» відповідей. Важливо, щоб ти відповідав / відповідала чесно.</w:t>
      </w:r>
    </w:p>
    <w:p w14:paraId="6A5C103A"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Варіанти відповідей:</w:t>
      </w:r>
    </w:p>
    <w:p w14:paraId="68E78192"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3 бали – повністю погоджуюся;</w:t>
      </w:r>
    </w:p>
    <w:p w14:paraId="1462AB9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2 бали – скоріше погоджуюся;</w:t>
      </w:r>
    </w:p>
    <w:p w14:paraId="285D626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1 бал – скоріше не погоджуюся;</w:t>
      </w:r>
    </w:p>
    <w:p w14:paraId="2194B2C8"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0 балів – зовсім не погоджуюся.</w:t>
      </w:r>
    </w:p>
    <w:tbl>
      <w:tblPr>
        <w:tblStyle w:val="a8"/>
        <w:tblW w:w="0" w:type="auto"/>
        <w:tblLook w:val="04A0" w:firstRow="1" w:lastRow="0" w:firstColumn="1" w:lastColumn="0" w:noHBand="0" w:noVBand="1"/>
      </w:tblPr>
      <w:tblGrid>
        <w:gridCol w:w="439"/>
        <w:gridCol w:w="6927"/>
        <w:gridCol w:w="567"/>
        <w:gridCol w:w="567"/>
        <w:gridCol w:w="567"/>
        <w:gridCol w:w="562"/>
      </w:tblGrid>
      <w:tr w:rsidR="004D658F" w:rsidRPr="00645F71" w14:paraId="0BAD0672" w14:textId="77777777" w:rsidTr="0046298E">
        <w:tc>
          <w:tcPr>
            <w:tcW w:w="439" w:type="dxa"/>
            <w:vAlign w:val="center"/>
          </w:tcPr>
          <w:p w14:paraId="609B6052"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w:t>
            </w:r>
          </w:p>
        </w:tc>
        <w:tc>
          <w:tcPr>
            <w:tcW w:w="6927" w:type="dxa"/>
            <w:vAlign w:val="center"/>
          </w:tcPr>
          <w:p w14:paraId="43CB166F"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Твердження</w:t>
            </w:r>
          </w:p>
        </w:tc>
        <w:tc>
          <w:tcPr>
            <w:tcW w:w="567" w:type="dxa"/>
            <w:vAlign w:val="center"/>
          </w:tcPr>
          <w:p w14:paraId="612888B3"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3</w:t>
            </w:r>
          </w:p>
        </w:tc>
        <w:tc>
          <w:tcPr>
            <w:tcW w:w="567" w:type="dxa"/>
            <w:vAlign w:val="center"/>
          </w:tcPr>
          <w:p w14:paraId="6B1115D7"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2</w:t>
            </w:r>
          </w:p>
        </w:tc>
        <w:tc>
          <w:tcPr>
            <w:tcW w:w="567" w:type="dxa"/>
            <w:vAlign w:val="center"/>
          </w:tcPr>
          <w:p w14:paraId="097FB8A5"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1</w:t>
            </w:r>
          </w:p>
        </w:tc>
        <w:tc>
          <w:tcPr>
            <w:tcW w:w="562" w:type="dxa"/>
          </w:tcPr>
          <w:p w14:paraId="03DB35D6" w14:textId="77777777" w:rsidR="004D658F" w:rsidRPr="00645F71" w:rsidRDefault="004D658F" w:rsidP="0046298E">
            <w:pPr>
              <w:jc w:val="center"/>
              <w:rPr>
                <w:rFonts w:ascii="Times New Roman" w:hAnsi="Times New Roman" w:cs="Times New Roman"/>
                <w:b/>
                <w:bCs/>
                <w:lang w:val="uk-UA"/>
              </w:rPr>
            </w:pPr>
            <w:r w:rsidRPr="00645F71">
              <w:rPr>
                <w:rFonts w:ascii="Times New Roman" w:hAnsi="Times New Roman" w:cs="Times New Roman"/>
                <w:b/>
                <w:bCs/>
                <w:lang w:val="uk-UA"/>
              </w:rPr>
              <w:t>0</w:t>
            </w:r>
          </w:p>
        </w:tc>
      </w:tr>
      <w:tr w:rsidR="004D658F" w:rsidRPr="00645F71" w14:paraId="293EDEA4" w14:textId="77777777" w:rsidTr="0046298E">
        <w:tc>
          <w:tcPr>
            <w:tcW w:w="439" w:type="dxa"/>
            <w:vAlign w:val="center"/>
          </w:tcPr>
          <w:p w14:paraId="07DD03A2"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1</w:t>
            </w:r>
          </w:p>
        </w:tc>
        <w:tc>
          <w:tcPr>
            <w:tcW w:w="6927" w:type="dxa"/>
            <w:vAlign w:val="center"/>
          </w:tcPr>
          <w:p w14:paraId="44E10484"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Мені цікаво дізнаватися, чому географічні явища відбуваються саме так.</w:t>
            </w:r>
          </w:p>
        </w:tc>
        <w:tc>
          <w:tcPr>
            <w:tcW w:w="567" w:type="dxa"/>
            <w:vAlign w:val="center"/>
          </w:tcPr>
          <w:p w14:paraId="07770B4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CF9708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85E9F9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311C6441"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61D7C703" w14:textId="77777777" w:rsidTr="0046298E">
        <w:tc>
          <w:tcPr>
            <w:tcW w:w="439" w:type="dxa"/>
            <w:vAlign w:val="center"/>
          </w:tcPr>
          <w:p w14:paraId="6BF008ED"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2</w:t>
            </w:r>
          </w:p>
        </w:tc>
        <w:tc>
          <w:tcPr>
            <w:tcW w:w="6927" w:type="dxa"/>
            <w:vAlign w:val="center"/>
          </w:tcPr>
          <w:p w14:paraId="729353A5"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Я охоче виконую завдання, у яких потрібно самому / самій спостерігати, порівнювати або робити висновок.</w:t>
            </w:r>
          </w:p>
        </w:tc>
        <w:tc>
          <w:tcPr>
            <w:tcW w:w="567" w:type="dxa"/>
            <w:vAlign w:val="center"/>
          </w:tcPr>
          <w:p w14:paraId="18FCE25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884181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E9E220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538CF675"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70A9B8FF" w14:textId="77777777" w:rsidTr="0046298E">
        <w:tc>
          <w:tcPr>
            <w:tcW w:w="439" w:type="dxa"/>
            <w:vAlign w:val="center"/>
          </w:tcPr>
          <w:p w14:paraId="2DFA9622"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3</w:t>
            </w:r>
          </w:p>
        </w:tc>
        <w:tc>
          <w:tcPr>
            <w:tcW w:w="6927" w:type="dxa"/>
            <w:vAlign w:val="center"/>
          </w:tcPr>
          <w:p w14:paraId="015E5A3E"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Мені подобається працювати з картами, таблицями, діаграмами та іншими географічними матеріалами.</w:t>
            </w:r>
          </w:p>
        </w:tc>
        <w:tc>
          <w:tcPr>
            <w:tcW w:w="567" w:type="dxa"/>
            <w:vAlign w:val="center"/>
          </w:tcPr>
          <w:p w14:paraId="1BB89F5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14C69E6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2B6F4A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5FD45ABC"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00EDB9F9" w14:textId="77777777" w:rsidTr="0046298E">
        <w:tc>
          <w:tcPr>
            <w:tcW w:w="439" w:type="dxa"/>
            <w:vAlign w:val="center"/>
          </w:tcPr>
          <w:p w14:paraId="3A2AF6F0"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4</w:t>
            </w:r>
          </w:p>
        </w:tc>
        <w:tc>
          <w:tcPr>
            <w:tcW w:w="6927" w:type="dxa"/>
            <w:vAlign w:val="center"/>
          </w:tcPr>
          <w:p w14:paraId="1D502909"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На уроках географії я часто хочу поставити уточнювальне запитання.</w:t>
            </w:r>
          </w:p>
        </w:tc>
        <w:tc>
          <w:tcPr>
            <w:tcW w:w="567" w:type="dxa"/>
            <w:vAlign w:val="center"/>
          </w:tcPr>
          <w:p w14:paraId="2742FB9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FB98D1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1C678E8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BD336E5"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214D14FA" w14:textId="77777777" w:rsidTr="0046298E">
        <w:tc>
          <w:tcPr>
            <w:tcW w:w="439" w:type="dxa"/>
            <w:vAlign w:val="center"/>
          </w:tcPr>
          <w:p w14:paraId="3B044393"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5</w:t>
            </w:r>
          </w:p>
        </w:tc>
        <w:tc>
          <w:tcPr>
            <w:tcW w:w="6927" w:type="dxa"/>
            <w:vAlign w:val="center"/>
          </w:tcPr>
          <w:p w14:paraId="2DA12822"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Мені цікаво досліджувати природу, населення або господарство свого краю.</w:t>
            </w:r>
          </w:p>
        </w:tc>
        <w:tc>
          <w:tcPr>
            <w:tcW w:w="567" w:type="dxa"/>
            <w:vAlign w:val="center"/>
          </w:tcPr>
          <w:p w14:paraId="1A8D7B7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0C6594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145BB27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CDB3A02"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2524B5D4" w14:textId="77777777" w:rsidTr="0046298E">
        <w:tc>
          <w:tcPr>
            <w:tcW w:w="439" w:type="dxa"/>
            <w:vAlign w:val="center"/>
          </w:tcPr>
          <w:p w14:paraId="252A81C8"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6</w:t>
            </w:r>
          </w:p>
        </w:tc>
        <w:tc>
          <w:tcPr>
            <w:tcW w:w="6927" w:type="dxa"/>
            <w:vAlign w:val="center"/>
          </w:tcPr>
          <w:p w14:paraId="6AC189A7"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Я намагаюся не просто запам’ятати матеріал, а зрозуміти причини географічних процесів.</w:t>
            </w:r>
          </w:p>
        </w:tc>
        <w:tc>
          <w:tcPr>
            <w:tcW w:w="567" w:type="dxa"/>
            <w:vAlign w:val="center"/>
          </w:tcPr>
          <w:p w14:paraId="1DCACE1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85237C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533AAA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3A27D50A"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2B33061B" w14:textId="77777777" w:rsidTr="0046298E">
        <w:tc>
          <w:tcPr>
            <w:tcW w:w="439" w:type="dxa"/>
            <w:vAlign w:val="center"/>
          </w:tcPr>
          <w:p w14:paraId="0C604DA7"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7</w:t>
            </w:r>
          </w:p>
        </w:tc>
        <w:tc>
          <w:tcPr>
            <w:tcW w:w="6927" w:type="dxa"/>
            <w:vAlign w:val="center"/>
          </w:tcPr>
          <w:p w14:paraId="658FA5A8"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Мені подобається виконувати практичні роботи з географії.</w:t>
            </w:r>
          </w:p>
        </w:tc>
        <w:tc>
          <w:tcPr>
            <w:tcW w:w="567" w:type="dxa"/>
            <w:vAlign w:val="center"/>
          </w:tcPr>
          <w:p w14:paraId="52D2FB6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303119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7C73ED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21C2047D"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3B00F15E" w14:textId="77777777" w:rsidTr="0046298E">
        <w:tc>
          <w:tcPr>
            <w:tcW w:w="439" w:type="dxa"/>
            <w:vAlign w:val="center"/>
          </w:tcPr>
          <w:p w14:paraId="5F7DF35A"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8</w:t>
            </w:r>
          </w:p>
        </w:tc>
        <w:tc>
          <w:tcPr>
            <w:tcW w:w="6927" w:type="dxa"/>
            <w:vAlign w:val="center"/>
          </w:tcPr>
          <w:p w14:paraId="7DEDB0B6"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Я можу самостійно працювати над географічним завданням, якщо маю чітку інструкцію.</w:t>
            </w:r>
          </w:p>
        </w:tc>
        <w:tc>
          <w:tcPr>
            <w:tcW w:w="567" w:type="dxa"/>
            <w:vAlign w:val="center"/>
          </w:tcPr>
          <w:p w14:paraId="22A1415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1F54469A"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F254AE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54B83CCA"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421F73C7" w14:textId="77777777" w:rsidTr="0046298E">
        <w:tc>
          <w:tcPr>
            <w:tcW w:w="439" w:type="dxa"/>
            <w:vAlign w:val="center"/>
          </w:tcPr>
          <w:p w14:paraId="2E3870C7"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9</w:t>
            </w:r>
          </w:p>
        </w:tc>
        <w:tc>
          <w:tcPr>
            <w:tcW w:w="6927" w:type="dxa"/>
            <w:vAlign w:val="center"/>
          </w:tcPr>
          <w:p w14:paraId="464B3CA9"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Мені цікаво шукати додаткову інформацію про географічні об’єкти, країни, регіони або природні явища.</w:t>
            </w:r>
          </w:p>
        </w:tc>
        <w:tc>
          <w:tcPr>
            <w:tcW w:w="567" w:type="dxa"/>
            <w:vAlign w:val="center"/>
          </w:tcPr>
          <w:p w14:paraId="4F630C5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5DD437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473031A"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3B4ADD7A"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r w:rsidR="004D658F" w:rsidRPr="00645F71" w14:paraId="56204CED" w14:textId="77777777" w:rsidTr="0046298E">
        <w:tc>
          <w:tcPr>
            <w:tcW w:w="439" w:type="dxa"/>
            <w:vAlign w:val="center"/>
          </w:tcPr>
          <w:p w14:paraId="4BA966B2"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10</w:t>
            </w:r>
          </w:p>
        </w:tc>
        <w:tc>
          <w:tcPr>
            <w:tcW w:w="6927" w:type="dxa"/>
            <w:vAlign w:val="center"/>
          </w:tcPr>
          <w:p w14:paraId="3CD5867E"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Я вважаю, що знання з географії можуть бути корисними у повсякденному житті.</w:t>
            </w:r>
          </w:p>
        </w:tc>
        <w:tc>
          <w:tcPr>
            <w:tcW w:w="567" w:type="dxa"/>
            <w:vAlign w:val="center"/>
          </w:tcPr>
          <w:p w14:paraId="669562B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BF9099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BF2543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A952103" w14:textId="77777777" w:rsidR="004D658F" w:rsidRPr="00645F71" w:rsidRDefault="004D658F" w:rsidP="0046298E">
            <w:pPr>
              <w:jc w:val="center"/>
              <w:rPr>
                <w:rFonts w:ascii="Segoe UI Symbol" w:hAnsi="Segoe UI Symbol" w:cs="Segoe UI Symbol"/>
                <w:lang w:val="uk-UA"/>
              </w:rPr>
            </w:pPr>
            <w:r w:rsidRPr="00645F71">
              <w:rPr>
                <w:rFonts w:ascii="Segoe UI Symbol" w:hAnsi="Segoe UI Symbol" w:cs="Segoe UI Symbol"/>
                <w:lang w:val="uk-UA"/>
              </w:rPr>
              <w:t>☐</w:t>
            </w:r>
          </w:p>
        </w:tc>
      </w:tr>
    </w:tbl>
    <w:p w14:paraId="3033FBF6" w14:textId="77777777" w:rsidR="004D658F" w:rsidRPr="00645F71" w:rsidRDefault="004D658F" w:rsidP="004D658F">
      <w:pPr>
        <w:spacing w:after="0" w:line="360" w:lineRule="auto"/>
        <w:jc w:val="both"/>
        <w:rPr>
          <w:rFonts w:ascii="Times New Roman" w:hAnsi="Times New Roman" w:cs="Times New Roman"/>
          <w:sz w:val="28"/>
          <w:szCs w:val="28"/>
          <w:lang w:val="uk-UA"/>
        </w:rPr>
      </w:pPr>
    </w:p>
    <w:p w14:paraId="5555DA5E"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59A7255C"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7C5112C2" w14:textId="77777777" w:rsidR="004D658F" w:rsidRPr="00645F71" w:rsidRDefault="004D658F" w:rsidP="004D658F">
      <w:pPr>
        <w:spacing w:after="0" w:line="360" w:lineRule="auto"/>
        <w:jc w:val="right"/>
        <w:rPr>
          <w:rFonts w:ascii="Times New Roman" w:hAnsi="Times New Roman" w:cs="Times New Roman"/>
          <w:sz w:val="28"/>
          <w:szCs w:val="28"/>
          <w:lang w:val="uk-UA"/>
        </w:rPr>
      </w:pPr>
      <w:r w:rsidRPr="00645F71">
        <w:rPr>
          <w:rFonts w:ascii="Times New Roman" w:hAnsi="Times New Roman" w:cs="Times New Roman"/>
          <w:sz w:val="28"/>
          <w:szCs w:val="28"/>
          <w:lang w:val="uk-UA"/>
        </w:rPr>
        <w:lastRenderedPageBreak/>
        <w:t>Додаток Б</w:t>
      </w:r>
    </w:p>
    <w:p w14:paraId="4D49A299" w14:textId="77777777" w:rsidR="004D658F" w:rsidRPr="00645F71" w:rsidRDefault="004D658F" w:rsidP="004D658F">
      <w:pPr>
        <w:spacing w:after="0" w:line="360" w:lineRule="auto"/>
        <w:jc w:val="center"/>
        <w:rPr>
          <w:rFonts w:ascii="Times New Roman" w:hAnsi="Times New Roman" w:cs="Times New Roman"/>
          <w:sz w:val="28"/>
          <w:szCs w:val="28"/>
          <w:lang w:val="uk-UA"/>
        </w:rPr>
      </w:pPr>
    </w:p>
    <w:p w14:paraId="1CEFA6D1"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Діагностичні завдання для визначення когнітивного та діяльнісного компонентів сформованості географічних компетентностей учнів</w:t>
      </w:r>
    </w:p>
    <w:p w14:paraId="30DF7499"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p>
    <w:p w14:paraId="0788CEC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Інструкція для учнів</w:t>
      </w:r>
      <w:r w:rsidRPr="00645F71">
        <w:rPr>
          <w:rFonts w:ascii="Times New Roman" w:hAnsi="Times New Roman" w:cs="Times New Roman"/>
          <w:b/>
          <w:bCs/>
          <w:sz w:val="28"/>
          <w:szCs w:val="28"/>
          <w:lang w:val="uk-UA"/>
        </w:rPr>
        <w:t xml:space="preserve">. </w:t>
      </w:r>
      <w:r w:rsidRPr="0060551B">
        <w:rPr>
          <w:rFonts w:ascii="Times New Roman" w:hAnsi="Times New Roman" w:cs="Times New Roman"/>
          <w:sz w:val="28"/>
          <w:szCs w:val="28"/>
          <w:lang w:val="uk-UA"/>
        </w:rPr>
        <w:t>Виконай завдання. Уважно читай умови, працюй самостійно та аргументуй свої відповіді там, де це потрібно.</w:t>
      </w:r>
    </w:p>
    <w:p w14:paraId="26725150" w14:textId="77777777" w:rsidR="004D658F" w:rsidRPr="00645F71" w:rsidRDefault="004D658F" w:rsidP="004D658F">
      <w:pPr>
        <w:spacing w:after="0" w:line="360" w:lineRule="auto"/>
        <w:jc w:val="both"/>
        <w:rPr>
          <w:rFonts w:ascii="Times New Roman" w:hAnsi="Times New Roman" w:cs="Times New Roman"/>
          <w:b/>
          <w:bCs/>
          <w:sz w:val="28"/>
          <w:szCs w:val="28"/>
          <w:lang w:val="uk-UA"/>
        </w:rPr>
      </w:pPr>
    </w:p>
    <w:p w14:paraId="0AA61E71" w14:textId="77777777" w:rsidR="004D658F" w:rsidRPr="0060551B" w:rsidRDefault="004D658F" w:rsidP="004D658F">
      <w:pPr>
        <w:spacing w:after="0" w:line="360" w:lineRule="auto"/>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Блок 1. Завдання на розуміння географічних понять (0</w:t>
      </w:r>
      <w:r w:rsidRPr="00645F71">
        <w:rPr>
          <w:rFonts w:ascii="Times New Roman" w:hAnsi="Times New Roman" w:cs="Times New Roman"/>
          <w:b/>
          <w:bCs/>
          <w:sz w:val="28"/>
          <w:szCs w:val="28"/>
          <w:lang w:val="uk-UA"/>
        </w:rPr>
        <w:t>-</w:t>
      </w:r>
      <w:r w:rsidRPr="0060551B">
        <w:rPr>
          <w:rFonts w:ascii="Times New Roman" w:hAnsi="Times New Roman" w:cs="Times New Roman"/>
          <w:b/>
          <w:bCs/>
          <w:sz w:val="28"/>
          <w:szCs w:val="28"/>
          <w:lang w:val="uk-UA"/>
        </w:rPr>
        <w:t>3 бали)</w:t>
      </w:r>
    </w:p>
    <w:p w14:paraId="21EA8741"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1.1. Поясни поняття «клімат» та наведи приклад його прояву.</w:t>
      </w:r>
    </w:p>
    <w:p w14:paraId="3D5396EA" w14:textId="77777777" w:rsidR="004D658F" w:rsidRPr="0060551B"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________________________________________________________________________________________________________________________________________</w:t>
      </w:r>
    </w:p>
    <w:p w14:paraId="4AD161BA"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1.2. Що таке «рельєф»? Назви дві форми рельєфу.</w:t>
      </w:r>
    </w:p>
    <w:p w14:paraId="5D9F0ACA" w14:textId="77777777" w:rsidR="004D658F" w:rsidRPr="0060551B"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________________________________________________________________________________________________________________________________________</w:t>
      </w:r>
    </w:p>
    <w:p w14:paraId="396DC8A4" w14:textId="77777777" w:rsidR="004D658F" w:rsidRPr="00645F71" w:rsidRDefault="004D658F" w:rsidP="004D658F">
      <w:pPr>
        <w:spacing w:after="0" w:line="360" w:lineRule="auto"/>
        <w:jc w:val="both"/>
        <w:rPr>
          <w:rFonts w:ascii="Times New Roman" w:hAnsi="Times New Roman" w:cs="Times New Roman"/>
          <w:sz w:val="28"/>
          <w:szCs w:val="28"/>
          <w:lang w:val="uk-UA"/>
        </w:rPr>
      </w:pPr>
    </w:p>
    <w:p w14:paraId="43B70C9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Критерії оцінювання:</w:t>
      </w:r>
    </w:p>
    <w:p w14:paraId="606A4AC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0 балів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відповідь відсутня або неправильна;</w:t>
      </w:r>
    </w:p>
    <w:p w14:paraId="68C48DC9"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1 бал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часткове розуміння, неточності;</w:t>
      </w:r>
    </w:p>
    <w:p w14:paraId="578046C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2 бали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правильна відповідь із незначними недоліками;</w:t>
      </w:r>
    </w:p>
    <w:p w14:paraId="6F279282"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3 бали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повне, точне пояснення з прикладом.</w:t>
      </w:r>
    </w:p>
    <w:p w14:paraId="5C2C861A"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p>
    <w:p w14:paraId="33217D78" w14:textId="77777777" w:rsidR="004D658F" w:rsidRPr="0060551B" w:rsidRDefault="004D658F" w:rsidP="004D658F">
      <w:pPr>
        <w:spacing w:after="0" w:line="360" w:lineRule="auto"/>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Блок 2. Завдання на встановлення причинно-наслідкових зв’язків (0–3 бали)</w:t>
      </w:r>
    </w:p>
    <w:p w14:paraId="26D73F42"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2.1. Поясни, чому в гірських районах випадає більше опадів, ніж на рівнинах.</w:t>
      </w:r>
    </w:p>
    <w:p w14:paraId="2AA29893" w14:textId="77777777" w:rsidR="004D658F" w:rsidRPr="0060551B"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________________________________________________________________________________________________________________________________________</w:t>
      </w:r>
    </w:p>
    <w:p w14:paraId="3AC411D3"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2.2. Чому густота населення в різних регіонах країни відрізняється? Назви 2</w:t>
      </w:r>
      <w:r w:rsidRPr="00645F71">
        <w:rPr>
          <w:rFonts w:ascii="Times New Roman" w:hAnsi="Times New Roman" w:cs="Times New Roman"/>
          <w:b/>
          <w:bCs/>
          <w:sz w:val="28"/>
          <w:szCs w:val="28"/>
          <w:lang w:val="uk-UA"/>
        </w:rPr>
        <w:t>-</w:t>
      </w:r>
      <w:r w:rsidRPr="0060551B">
        <w:rPr>
          <w:rFonts w:ascii="Times New Roman" w:hAnsi="Times New Roman" w:cs="Times New Roman"/>
          <w:b/>
          <w:bCs/>
          <w:sz w:val="28"/>
          <w:szCs w:val="28"/>
          <w:lang w:val="uk-UA"/>
        </w:rPr>
        <w:t>3 причини.</w:t>
      </w:r>
    </w:p>
    <w:p w14:paraId="0EEC9E00" w14:textId="77777777" w:rsidR="004D658F" w:rsidRPr="0060551B"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lastRenderedPageBreak/>
        <w:t>________________________________________________________________________________________________________________________________________</w:t>
      </w:r>
    </w:p>
    <w:p w14:paraId="26763161" w14:textId="77777777" w:rsidR="004D658F" w:rsidRPr="0060551B" w:rsidRDefault="004D658F" w:rsidP="004D658F">
      <w:pPr>
        <w:spacing w:after="0" w:line="360" w:lineRule="auto"/>
        <w:jc w:val="both"/>
        <w:rPr>
          <w:rFonts w:ascii="Times New Roman" w:hAnsi="Times New Roman" w:cs="Times New Roman"/>
          <w:sz w:val="28"/>
          <w:szCs w:val="28"/>
          <w:lang w:val="uk-UA"/>
        </w:rPr>
      </w:pPr>
    </w:p>
    <w:p w14:paraId="1F5125B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Критерії оцінювання:</w:t>
      </w:r>
    </w:p>
    <w:p w14:paraId="072192CA"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0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відсутність пояснення;</w:t>
      </w:r>
    </w:p>
    <w:p w14:paraId="2E08FBAB"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1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названо окремі факти без пояснення;</w:t>
      </w:r>
    </w:p>
    <w:p w14:paraId="29AB900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2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пояснення часткове;</w:t>
      </w:r>
    </w:p>
    <w:p w14:paraId="35C0821B"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3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логічне, повне пояснення з кількома чинниками.</w:t>
      </w:r>
    </w:p>
    <w:p w14:paraId="354C166F"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p>
    <w:p w14:paraId="430564E2" w14:textId="77777777" w:rsidR="004D658F" w:rsidRPr="0060551B" w:rsidRDefault="004D658F" w:rsidP="004D658F">
      <w:pPr>
        <w:spacing w:after="0" w:line="360" w:lineRule="auto"/>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Блок 3. Завдання на аналіз географічної інформації (карта / таблиця) (0</w:t>
      </w:r>
      <w:r w:rsidRPr="00645F71">
        <w:rPr>
          <w:rFonts w:ascii="Times New Roman" w:hAnsi="Times New Roman" w:cs="Times New Roman"/>
          <w:b/>
          <w:bCs/>
          <w:sz w:val="28"/>
          <w:szCs w:val="28"/>
          <w:lang w:val="uk-UA"/>
        </w:rPr>
        <w:t>-</w:t>
      </w:r>
      <w:r w:rsidRPr="0060551B">
        <w:rPr>
          <w:rFonts w:ascii="Times New Roman" w:hAnsi="Times New Roman" w:cs="Times New Roman"/>
          <w:b/>
          <w:bCs/>
          <w:sz w:val="28"/>
          <w:szCs w:val="28"/>
          <w:lang w:val="uk-UA"/>
        </w:rPr>
        <w:t>3 бали)</w:t>
      </w:r>
    </w:p>
    <w:p w14:paraId="40FC13A9"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3.1. Проаналізуй умовну ситуацію:</w:t>
      </w:r>
      <w:r w:rsidRPr="00645F71">
        <w:rPr>
          <w:rFonts w:ascii="Times New Roman" w:hAnsi="Times New Roman" w:cs="Times New Roman"/>
          <w:sz w:val="28"/>
          <w:szCs w:val="28"/>
          <w:lang w:val="uk-UA"/>
        </w:rPr>
        <w:t xml:space="preserve"> </w:t>
      </w:r>
      <w:r w:rsidRPr="0060551B">
        <w:rPr>
          <w:rFonts w:ascii="Times New Roman" w:hAnsi="Times New Roman" w:cs="Times New Roman"/>
          <w:sz w:val="28"/>
          <w:szCs w:val="28"/>
          <w:lang w:val="uk-UA"/>
        </w:rPr>
        <w:t>На карті видно, що річки в одному регіоні густіші, ніж в іншому.</w:t>
      </w:r>
    </w:p>
    <w:p w14:paraId="218B00E7"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Запитання:</w:t>
      </w:r>
    </w:p>
    <w:p w14:paraId="6CAE74D5" w14:textId="77777777" w:rsidR="004D658F" w:rsidRPr="0060551B" w:rsidRDefault="004D658F" w:rsidP="004D658F">
      <w:pPr>
        <w:numPr>
          <w:ilvl w:val="0"/>
          <w:numId w:val="13"/>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Які фактори можуть це пояснити? </w:t>
      </w:r>
    </w:p>
    <w:p w14:paraId="7BC50430" w14:textId="77777777" w:rsidR="004D658F" w:rsidRPr="0060551B" w:rsidRDefault="004D658F" w:rsidP="004D658F">
      <w:pPr>
        <w:numPr>
          <w:ilvl w:val="0"/>
          <w:numId w:val="13"/>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Що це говорить про клімат території? </w:t>
      </w:r>
    </w:p>
    <w:p w14:paraId="503EAC88" w14:textId="77777777" w:rsidR="004D658F" w:rsidRPr="00645F71"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________________________________________________________________________________________________________________________________________</w:t>
      </w:r>
    </w:p>
    <w:p w14:paraId="0F6DCA6E"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3.2. Проаналізуй дані:</w:t>
      </w:r>
      <w:r w:rsidRPr="00645F71">
        <w:rPr>
          <w:rFonts w:ascii="Times New Roman" w:hAnsi="Times New Roman" w:cs="Times New Roman"/>
          <w:sz w:val="28"/>
          <w:szCs w:val="28"/>
          <w:lang w:val="uk-UA"/>
        </w:rPr>
        <w:t xml:space="preserve"> </w:t>
      </w:r>
      <w:r w:rsidRPr="0060551B">
        <w:rPr>
          <w:rFonts w:ascii="Times New Roman" w:hAnsi="Times New Roman" w:cs="Times New Roman"/>
          <w:sz w:val="28"/>
          <w:szCs w:val="28"/>
          <w:lang w:val="uk-UA"/>
        </w:rPr>
        <w:t xml:space="preserve">Регіон А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густота населення 120 осіб/км²</w:t>
      </w:r>
      <w:r w:rsidRPr="00645F71">
        <w:rPr>
          <w:rFonts w:ascii="Times New Roman" w:hAnsi="Times New Roman" w:cs="Times New Roman"/>
          <w:sz w:val="28"/>
          <w:szCs w:val="28"/>
          <w:lang w:val="uk-UA"/>
        </w:rPr>
        <w:t xml:space="preserve">. </w:t>
      </w:r>
      <w:r w:rsidRPr="0060551B">
        <w:rPr>
          <w:rFonts w:ascii="Times New Roman" w:hAnsi="Times New Roman" w:cs="Times New Roman"/>
          <w:sz w:val="28"/>
          <w:szCs w:val="28"/>
          <w:lang w:val="uk-UA"/>
        </w:rPr>
        <w:t xml:space="preserve">Регіон Б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35 осіб/км²</w:t>
      </w:r>
    </w:p>
    <w:p w14:paraId="01FB9C75"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Запитання:</w:t>
      </w:r>
    </w:p>
    <w:p w14:paraId="2CADD45A" w14:textId="77777777" w:rsidR="004D658F" w:rsidRPr="0060551B" w:rsidRDefault="004D658F" w:rsidP="004D658F">
      <w:pPr>
        <w:numPr>
          <w:ilvl w:val="0"/>
          <w:numId w:val="14"/>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У якому регіоні кращі умови для проживання? Чому? </w:t>
      </w:r>
    </w:p>
    <w:p w14:paraId="23B83BBE" w14:textId="77777777" w:rsidR="004D658F" w:rsidRPr="00645F71"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________________________________________________________________________________________________________________________________________</w:t>
      </w:r>
    </w:p>
    <w:p w14:paraId="6DD8B798" w14:textId="77777777" w:rsidR="004D658F" w:rsidRPr="0060551B" w:rsidRDefault="004D658F" w:rsidP="004D658F">
      <w:pPr>
        <w:spacing w:after="0" w:line="360" w:lineRule="auto"/>
        <w:jc w:val="both"/>
        <w:rPr>
          <w:rFonts w:ascii="Times New Roman" w:hAnsi="Times New Roman" w:cs="Times New Roman"/>
          <w:sz w:val="28"/>
          <w:szCs w:val="28"/>
          <w:lang w:val="uk-UA"/>
        </w:rPr>
      </w:pPr>
    </w:p>
    <w:p w14:paraId="2E083EA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Критерії оцінювання:</w:t>
      </w:r>
    </w:p>
    <w:p w14:paraId="0D59417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0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відповідь відсутня;</w:t>
      </w:r>
    </w:p>
    <w:p w14:paraId="3430A102"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1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поверхневий опис;</w:t>
      </w:r>
    </w:p>
    <w:p w14:paraId="489DA77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2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частковий аналіз;</w:t>
      </w:r>
    </w:p>
    <w:p w14:paraId="632E3C9F"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3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повний аналіз із поясненням.</w:t>
      </w:r>
    </w:p>
    <w:p w14:paraId="7FD88908" w14:textId="77777777" w:rsidR="004D658F" w:rsidRPr="0060551B" w:rsidRDefault="004D658F" w:rsidP="004D658F">
      <w:pPr>
        <w:spacing w:after="0" w:line="360" w:lineRule="auto"/>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lastRenderedPageBreak/>
        <w:t>Блок 4. Міні-дослідження (0–3 бали)</w:t>
      </w:r>
    </w:p>
    <w:p w14:paraId="310DFFFA"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Завдання:</w:t>
      </w:r>
      <w:r w:rsidRPr="0060551B">
        <w:rPr>
          <w:rFonts w:ascii="Times New Roman" w:hAnsi="Times New Roman" w:cs="Times New Roman"/>
          <w:sz w:val="28"/>
          <w:szCs w:val="28"/>
          <w:lang w:val="uk-UA"/>
        </w:rPr>
        <w:br/>
        <w:t>Порівняй два об’єкти (на вибір):</w:t>
      </w:r>
    </w:p>
    <w:p w14:paraId="0121EE45" w14:textId="77777777" w:rsidR="004D658F" w:rsidRPr="00645F71" w:rsidRDefault="004D658F" w:rsidP="004D658F">
      <w:pPr>
        <w:pStyle w:val="a7"/>
        <w:numPr>
          <w:ilvl w:val="0"/>
          <w:numId w:val="19"/>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два регіони України або </w:t>
      </w:r>
    </w:p>
    <w:p w14:paraId="0DBE7562" w14:textId="77777777" w:rsidR="004D658F" w:rsidRPr="00645F71" w:rsidRDefault="004D658F" w:rsidP="004D658F">
      <w:pPr>
        <w:pStyle w:val="a7"/>
        <w:numPr>
          <w:ilvl w:val="0"/>
          <w:numId w:val="19"/>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дві природні зони або </w:t>
      </w:r>
    </w:p>
    <w:p w14:paraId="5EA9D970" w14:textId="77777777" w:rsidR="004D658F" w:rsidRPr="0060551B" w:rsidRDefault="004D658F" w:rsidP="004D658F">
      <w:pPr>
        <w:numPr>
          <w:ilvl w:val="0"/>
          <w:numId w:val="15"/>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два материки </w:t>
      </w:r>
    </w:p>
    <w:p w14:paraId="350782CE"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План дослідження:</w:t>
      </w:r>
    </w:p>
    <w:p w14:paraId="7C31E436" w14:textId="77777777" w:rsidR="004D658F" w:rsidRPr="0060551B" w:rsidRDefault="004D658F" w:rsidP="004D658F">
      <w:pPr>
        <w:numPr>
          <w:ilvl w:val="0"/>
          <w:numId w:val="16"/>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Назва об’єктів: __________________________ </w:t>
      </w:r>
    </w:p>
    <w:p w14:paraId="210CE17B" w14:textId="77777777" w:rsidR="004D658F" w:rsidRPr="0060551B" w:rsidRDefault="004D658F" w:rsidP="004D658F">
      <w:pPr>
        <w:numPr>
          <w:ilvl w:val="0"/>
          <w:numId w:val="16"/>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Ознаки для порівняння (не менше 3): </w:t>
      </w:r>
    </w:p>
    <w:p w14:paraId="0632FAE3" w14:textId="77777777" w:rsidR="004D658F" w:rsidRPr="0060551B" w:rsidRDefault="004D658F" w:rsidP="004D658F">
      <w:pPr>
        <w:numPr>
          <w:ilvl w:val="0"/>
          <w:numId w:val="17"/>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w:t>
      </w:r>
    </w:p>
    <w:p w14:paraId="6CCF89B7" w14:textId="77777777" w:rsidR="004D658F" w:rsidRPr="0060551B" w:rsidRDefault="004D658F" w:rsidP="004D658F">
      <w:pPr>
        <w:numPr>
          <w:ilvl w:val="0"/>
          <w:numId w:val="17"/>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w:t>
      </w:r>
    </w:p>
    <w:p w14:paraId="70E3149C" w14:textId="77777777" w:rsidR="004D658F" w:rsidRPr="0060551B" w:rsidRDefault="004D658F" w:rsidP="004D658F">
      <w:pPr>
        <w:numPr>
          <w:ilvl w:val="0"/>
          <w:numId w:val="17"/>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_______________________________________________________________</w:t>
      </w:r>
    </w:p>
    <w:p w14:paraId="529A8A80" w14:textId="77777777" w:rsidR="004D658F" w:rsidRPr="0060551B" w:rsidRDefault="004D658F" w:rsidP="004D658F">
      <w:pPr>
        <w:numPr>
          <w:ilvl w:val="0"/>
          <w:numId w:val="18"/>
        </w:numPr>
        <w:spacing w:after="0" w:line="360" w:lineRule="auto"/>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Висновок: </w:t>
      </w:r>
    </w:p>
    <w:p w14:paraId="0DC024A6" w14:textId="77777777" w:rsidR="004D658F" w:rsidRPr="00645F71" w:rsidRDefault="004D658F" w:rsidP="004D658F">
      <w:pPr>
        <w:spacing w:after="0" w:line="360" w:lineRule="auto"/>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________________________________________________________________________________________________________________________________________</w:t>
      </w:r>
    </w:p>
    <w:p w14:paraId="1F4AA71C"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p>
    <w:p w14:paraId="0DF9967F"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Критерії оцінювання:</w:t>
      </w:r>
    </w:p>
    <w:p w14:paraId="3B0F37E4"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0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завдання не виконано;</w:t>
      </w:r>
    </w:p>
    <w:p w14:paraId="51DFF0AE"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1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фрагментарне виконання;</w:t>
      </w:r>
    </w:p>
    <w:p w14:paraId="17212EA9"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2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є порівняння, але висновок слабкий;</w:t>
      </w:r>
    </w:p>
    <w:p w14:paraId="6F07CF00"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3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повне дослідження з обґрунтованим висновком.</w:t>
      </w:r>
    </w:p>
    <w:p w14:paraId="199D2964"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p>
    <w:p w14:paraId="3D499481" w14:textId="77777777" w:rsidR="004D658F" w:rsidRPr="0060551B" w:rsidRDefault="004D658F" w:rsidP="004D658F">
      <w:pPr>
        <w:spacing w:after="0" w:line="360" w:lineRule="auto"/>
        <w:ind w:firstLine="709"/>
        <w:jc w:val="both"/>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Загальна шкала оцінювання</w:t>
      </w:r>
    </w:p>
    <w:p w14:paraId="4AD2F506" w14:textId="77777777" w:rsidR="004D658F" w:rsidRPr="0060551B"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Максимум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w:t>
      </w:r>
      <w:r w:rsidRPr="0060551B">
        <w:rPr>
          <w:rFonts w:ascii="Times New Roman" w:hAnsi="Times New Roman" w:cs="Times New Roman"/>
          <w:b/>
          <w:bCs/>
          <w:sz w:val="28"/>
          <w:szCs w:val="28"/>
          <w:lang w:val="uk-UA"/>
        </w:rPr>
        <w:t>12 балів</w:t>
      </w:r>
    </w:p>
    <w:p w14:paraId="1A0ED10E"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b/>
          <w:bCs/>
          <w:sz w:val="28"/>
          <w:szCs w:val="28"/>
          <w:lang w:val="uk-UA"/>
        </w:rPr>
        <w:t>Рівні:</w:t>
      </w:r>
    </w:p>
    <w:p w14:paraId="4576D2D0"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10–12 балів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високий рівень</w:t>
      </w:r>
    </w:p>
    <w:p w14:paraId="7A824F6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7–9 балів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достатній рівень</w:t>
      </w:r>
    </w:p>
    <w:p w14:paraId="742CF41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4–6 балів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середній рівень</w:t>
      </w:r>
    </w:p>
    <w:p w14:paraId="7B9CEFE4"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0551B">
        <w:rPr>
          <w:rFonts w:ascii="Times New Roman" w:hAnsi="Times New Roman" w:cs="Times New Roman"/>
          <w:sz w:val="28"/>
          <w:szCs w:val="28"/>
          <w:lang w:val="uk-UA"/>
        </w:rPr>
        <w:t xml:space="preserve">0–3 бали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початковий рівень</w:t>
      </w:r>
      <w:r w:rsidRPr="00645F71">
        <w:rPr>
          <w:rFonts w:ascii="Times New Roman" w:hAnsi="Times New Roman" w:cs="Times New Roman"/>
          <w:sz w:val="28"/>
          <w:szCs w:val="28"/>
          <w:lang w:val="uk-UA"/>
        </w:rPr>
        <w:t>.</w:t>
      </w:r>
    </w:p>
    <w:p w14:paraId="4EAC006D" w14:textId="77777777" w:rsidR="004D658F" w:rsidRPr="00645F71" w:rsidRDefault="004D658F" w:rsidP="004D658F">
      <w:pPr>
        <w:spacing w:after="0" w:line="360" w:lineRule="auto"/>
        <w:jc w:val="both"/>
        <w:rPr>
          <w:rFonts w:ascii="Times New Roman" w:hAnsi="Times New Roman" w:cs="Times New Roman"/>
          <w:sz w:val="28"/>
          <w:szCs w:val="28"/>
          <w:lang w:val="uk-UA"/>
        </w:rPr>
      </w:pPr>
    </w:p>
    <w:p w14:paraId="37994684" w14:textId="77777777" w:rsidR="004D658F" w:rsidRPr="00645F71" w:rsidRDefault="004D658F" w:rsidP="004D658F">
      <w:pPr>
        <w:spacing w:after="0" w:line="360" w:lineRule="auto"/>
        <w:jc w:val="right"/>
        <w:rPr>
          <w:rFonts w:ascii="Times New Roman" w:hAnsi="Times New Roman" w:cs="Times New Roman"/>
          <w:sz w:val="28"/>
          <w:szCs w:val="28"/>
          <w:lang w:val="uk-UA"/>
        </w:rPr>
      </w:pPr>
      <w:r w:rsidRPr="00645F71">
        <w:rPr>
          <w:rFonts w:ascii="Times New Roman" w:hAnsi="Times New Roman" w:cs="Times New Roman"/>
          <w:sz w:val="28"/>
          <w:szCs w:val="28"/>
          <w:lang w:val="uk-UA"/>
        </w:rPr>
        <w:lastRenderedPageBreak/>
        <w:t>Додаток В</w:t>
      </w:r>
    </w:p>
    <w:p w14:paraId="0E330588" w14:textId="77777777" w:rsidR="004D658F" w:rsidRPr="00645F71" w:rsidRDefault="004D658F" w:rsidP="004D658F">
      <w:pPr>
        <w:spacing w:after="0" w:line="360" w:lineRule="auto"/>
        <w:jc w:val="center"/>
        <w:rPr>
          <w:rFonts w:ascii="Times New Roman" w:hAnsi="Times New Roman" w:cs="Times New Roman"/>
          <w:sz w:val="28"/>
          <w:szCs w:val="28"/>
          <w:lang w:val="uk-UA"/>
        </w:rPr>
      </w:pPr>
    </w:p>
    <w:p w14:paraId="5667E222"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Карта педагогічного спостереження за проявами географічних компетентностей учнів</w:t>
      </w:r>
    </w:p>
    <w:p w14:paraId="6A5B273D" w14:textId="77777777" w:rsidR="004D658F" w:rsidRPr="00645F71" w:rsidRDefault="004D658F" w:rsidP="004D658F">
      <w:pPr>
        <w:spacing w:after="0" w:line="360" w:lineRule="auto"/>
        <w:rPr>
          <w:rFonts w:ascii="Times New Roman" w:hAnsi="Times New Roman" w:cs="Times New Roman"/>
          <w:sz w:val="28"/>
          <w:szCs w:val="28"/>
          <w:lang w:val="uk-UA"/>
        </w:rPr>
      </w:pPr>
    </w:p>
    <w:p w14:paraId="45FD36C9" w14:textId="77777777" w:rsidR="004D658F" w:rsidRPr="0060551B" w:rsidRDefault="004D658F" w:rsidP="004D658F">
      <w:pPr>
        <w:spacing w:after="0" w:line="360" w:lineRule="auto"/>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Інструкція для вчителя</w:t>
      </w:r>
      <w:r w:rsidRPr="00645F71">
        <w:rPr>
          <w:rFonts w:ascii="Times New Roman" w:hAnsi="Times New Roman" w:cs="Times New Roman"/>
          <w:b/>
          <w:bCs/>
          <w:sz w:val="28"/>
          <w:szCs w:val="28"/>
          <w:lang w:val="uk-UA"/>
        </w:rPr>
        <w:t xml:space="preserve">. </w:t>
      </w:r>
      <w:r w:rsidRPr="0060551B">
        <w:rPr>
          <w:rFonts w:ascii="Times New Roman" w:hAnsi="Times New Roman" w:cs="Times New Roman"/>
          <w:sz w:val="28"/>
          <w:szCs w:val="28"/>
          <w:lang w:val="uk-UA"/>
        </w:rPr>
        <w:t>Карта призначена для систематичного спостереження за діяльністю учнів під час уроків географії, виконання дослідницьких завдань, практичних робіт і мініпроєктів. Оцінювання здійснюється за чотирибальною шкалою:</w:t>
      </w:r>
    </w:p>
    <w:p w14:paraId="1E2B9EE1" w14:textId="77777777" w:rsidR="004D658F" w:rsidRPr="0060551B" w:rsidRDefault="004D658F" w:rsidP="004D658F">
      <w:pPr>
        <w:numPr>
          <w:ilvl w:val="0"/>
          <w:numId w:val="20"/>
        </w:numPr>
        <w:spacing w:after="0" w:line="360" w:lineRule="auto"/>
        <w:rPr>
          <w:rFonts w:ascii="Times New Roman" w:hAnsi="Times New Roman" w:cs="Times New Roman"/>
          <w:sz w:val="28"/>
          <w:szCs w:val="28"/>
          <w:lang w:val="uk-UA"/>
        </w:rPr>
      </w:pPr>
      <w:r w:rsidRPr="0060551B">
        <w:rPr>
          <w:rFonts w:ascii="Times New Roman" w:hAnsi="Times New Roman" w:cs="Times New Roman"/>
          <w:b/>
          <w:bCs/>
          <w:sz w:val="28"/>
          <w:szCs w:val="28"/>
          <w:lang w:val="uk-UA"/>
        </w:rPr>
        <w:t>0 балів</w:t>
      </w:r>
      <w:r w:rsidRPr="0060551B">
        <w:rPr>
          <w:rFonts w:ascii="Times New Roman" w:hAnsi="Times New Roman" w:cs="Times New Roman"/>
          <w:sz w:val="28"/>
          <w:szCs w:val="28"/>
          <w:lang w:val="uk-UA"/>
        </w:rPr>
        <w:t xml:space="preserve">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прояв відсутній </w:t>
      </w:r>
    </w:p>
    <w:p w14:paraId="0A7AD9C2" w14:textId="77777777" w:rsidR="004D658F" w:rsidRPr="0060551B" w:rsidRDefault="004D658F" w:rsidP="004D658F">
      <w:pPr>
        <w:numPr>
          <w:ilvl w:val="0"/>
          <w:numId w:val="20"/>
        </w:numPr>
        <w:spacing w:after="0" w:line="360" w:lineRule="auto"/>
        <w:rPr>
          <w:rFonts w:ascii="Times New Roman" w:hAnsi="Times New Roman" w:cs="Times New Roman"/>
          <w:sz w:val="28"/>
          <w:szCs w:val="28"/>
          <w:lang w:val="uk-UA"/>
        </w:rPr>
      </w:pPr>
      <w:r w:rsidRPr="0060551B">
        <w:rPr>
          <w:rFonts w:ascii="Times New Roman" w:hAnsi="Times New Roman" w:cs="Times New Roman"/>
          <w:b/>
          <w:bCs/>
          <w:sz w:val="28"/>
          <w:szCs w:val="28"/>
          <w:lang w:val="uk-UA"/>
        </w:rPr>
        <w:t>1 бал</w:t>
      </w:r>
      <w:r w:rsidRPr="0060551B">
        <w:rPr>
          <w:rFonts w:ascii="Times New Roman" w:hAnsi="Times New Roman" w:cs="Times New Roman"/>
          <w:sz w:val="28"/>
          <w:szCs w:val="28"/>
          <w:lang w:val="uk-UA"/>
        </w:rPr>
        <w:t xml:space="preserve">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прояв слабкий, епізодичний </w:t>
      </w:r>
    </w:p>
    <w:p w14:paraId="2600ADE9" w14:textId="77777777" w:rsidR="004D658F" w:rsidRPr="0060551B" w:rsidRDefault="004D658F" w:rsidP="004D658F">
      <w:pPr>
        <w:numPr>
          <w:ilvl w:val="0"/>
          <w:numId w:val="20"/>
        </w:numPr>
        <w:spacing w:after="0" w:line="360" w:lineRule="auto"/>
        <w:rPr>
          <w:rFonts w:ascii="Times New Roman" w:hAnsi="Times New Roman" w:cs="Times New Roman"/>
          <w:sz w:val="28"/>
          <w:szCs w:val="28"/>
          <w:lang w:val="uk-UA"/>
        </w:rPr>
      </w:pPr>
      <w:r w:rsidRPr="0060551B">
        <w:rPr>
          <w:rFonts w:ascii="Times New Roman" w:hAnsi="Times New Roman" w:cs="Times New Roman"/>
          <w:b/>
          <w:bCs/>
          <w:sz w:val="28"/>
          <w:szCs w:val="28"/>
          <w:lang w:val="uk-UA"/>
        </w:rPr>
        <w:t>2 бали</w:t>
      </w:r>
      <w:r w:rsidRPr="0060551B">
        <w:rPr>
          <w:rFonts w:ascii="Times New Roman" w:hAnsi="Times New Roman" w:cs="Times New Roman"/>
          <w:sz w:val="28"/>
          <w:szCs w:val="28"/>
          <w:lang w:val="uk-UA"/>
        </w:rPr>
        <w:t xml:space="preserve">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прояв достатній, але нестійкий </w:t>
      </w:r>
    </w:p>
    <w:p w14:paraId="031C9399" w14:textId="77777777" w:rsidR="004D658F" w:rsidRPr="0060551B" w:rsidRDefault="004D658F" w:rsidP="004D658F">
      <w:pPr>
        <w:numPr>
          <w:ilvl w:val="0"/>
          <w:numId w:val="20"/>
        </w:numPr>
        <w:spacing w:after="0" w:line="360" w:lineRule="auto"/>
        <w:rPr>
          <w:rFonts w:ascii="Times New Roman" w:hAnsi="Times New Roman" w:cs="Times New Roman"/>
          <w:sz w:val="28"/>
          <w:szCs w:val="28"/>
          <w:lang w:val="uk-UA"/>
        </w:rPr>
      </w:pPr>
      <w:r w:rsidRPr="0060551B">
        <w:rPr>
          <w:rFonts w:ascii="Times New Roman" w:hAnsi="Times New Roman" w:cs="Times New Roman"/>
          <w:b/>
          <w:bCs/>
          <w:sz w:val="28"/>
          <w:szCs w:val="28"/>
          <w:lang w:val="uk-UA"/>
        </w:rPr>
        <w:t>3 бали</w:t>
      </w:r>
      <w:r w:rsidRPr="0060551B">
        <w:rPr>
          <w:rFonts w:ascii="Times New Roman" w:hAnsi="Times New Roman" w:cs="Times New Roman"/>
          <w:sz w:val="28"/>
          <w:szCs w:val="28"/>
          <w:lang w:val="uk-UA"/>
        </w:rPr>
        <w:t xml:space="preserve"> </w:t>
      </w:r>
      <w:r w:rsidRPr="00645F71">
        <w:rPr>
          <w:rFonts w:ascii="Times New Roman" w:hAnsi="Times New Roman" w:cs="Times New Roman"/>
          <w:sz w:val="28"/>
          <w:szCs w:val="28"/>
          <w:lang w:val="uk-UA"/>
        </w:rPr>
        <w:t>–</w:t>
      </w:r>
      <w:r w:rsidRPr="0060551B">
        <w:rPr>
          <w:rFonts w:ascii="Times New Roman" w:hAnsi="Times New Roman" w:cs="Times New Roman"/>
          <w:sz w:val="28"/>
          <w:szCs w:val="28"/>
          <w:lang w:val="uk-UA"/>
        </w:rPr>
        <w:t xml:space="preserve"> прояв чіткий, стійкий і самостійний </w:t>
      </w:r>
    </w:p>
    <w:p w14:paraId="7A5700C9" w14:textId="77777777" w:rsidR="004D658F" w:rsidRPr="0060551B" w:rsidRDefault="004D658F" w:rsidP="004D658F">
      <w:pPr>
        <w:spacing w:after="0" w:line="360" w:lineRule="auto"/>
        <w:rPr>
          <w:rFonts w:ascii="Times New Roman" w:hAnsi="Times New Roman" w:cs="Times New Roman"/>
          <w:sz w:val="28"/>
          <w:szCs w:val="28"/>
          <w:lang w:val="uk-UA"/>
        </w:rPr>
      </w:pPr>
    </w:p>
    <w:p w14:paraId="76C625AA" w14:textId="77777777" w:rsidR="004D658F" w:rsidRPr="0060551B" w:rsidRDefault="004D658F" w:rsidP="004D658F">
      <w:pPr>
        <w:spacing w:after="0" w:line="360" w:lineRule="auto"/>
        <w:rPr>
          <w:rFonts w:ascii="Times New Roman" w:hAnsi="Times New Roman" w:cs="Times New Roman"/>
          <w:b/>
          <w:bCs/>
          <w:sz w:val="28"/>
          <w:szCs w:val="28"/>
          <w:lang w:val="uk-UA"/>
        </w:rPr>
      </w:pPr>
      <w:r w:rsidRPr="0060551B">
        <w:rPr>
          <w:rFonts w:ascii="Times New Roman" w:hAnsi="Times New Roman" w:cs="Times New Roman"/>
          <w:b/>
          <w:bCs/>
          <w:sz w:val="28"/>
          <w:szCs w:val="28"/>
          <w:lang w:val="uk-UA"/>
        </w:rPr>
        <w:t>1. Загальна інформація</w:t>
      </w:r>
    </w:p>
    <w:p w14:paraId="2A9FEB43" w14:textId="77777777" w:rsidR="004D658F" w:rsidRPr="0060551B" w:rsidRDefault="004D658F" w:rsidP="004D658F">
      <w:pPr>
        <w:spacing w:after="0" w:line="360" w:lineRule="auto"/>
        <w:rPr>
          <w:rFonts w:ascii="Times New Roman" w:hAnsi="Times New Roman" w:cs="Times New Roman"/>
          <w:sz w:val="28"/>
          <w:szCs w:val="28"/>
          <w:lang w:val="uk-UA"/>
        </w:rPr>
      </w:pPr>
      <w:r w:rsidRPr="0060551B">
        <w:rPr>
          <w:rFonts w:ascii="Times New Roman" w:hAnsi="Times New Roman" w:cs="Times New Roman"/>
          <w:sz w:val="28"/>
          <w:szCs w:val="28"/>
          <w:lang w:val="uk-UA"/>
        </w:rPr>
        <w:t>Прізвище, ім’я учня: ____________________________</w:t>
      </w:r>
      <w:r w:rsidRPr="0060551B">
        <w:rPr>
          <w:rFonts w:ascii="Times New Roman" w:hAnsi="Times New Roman" w:cs="Times New Roman"/>
          <w:sz w:val="28"/>
          <w:szCs w:val="28"/>
          <w:lang w:val="uk-UA"/>
        </w:rPr>
        <w:br/>
        <w:t>Клас: __________</w:t>
      </w:r>
      <w:r w:rsidRPr="0060551B">
        <w:rPr>
          <w:rFonts w:ascii="Times New Roman" w:hAnsi="Times New Roman" w:cs="Times New Roman"/>
          <w:sz w:val="28"/>
          <w:szCs w:val="28"/>
          <w:lang w:val="uk-UA"/>
        </w:rPr>
        <w:br/>
        <w:t>Дата спостереження: ____________________________</w:t>
      </w:r>
      <w:r w:rsidRPr="0060551B">
        <w:rPr>
          <w:rFonts w:ascii="Times New Roman" w:hAnsi="Times New Roman" w:cs="Times New Roman"/>
          <w:sz w:val="28"/>
          <w:szCs w:val="28"/>
          <w:lang w:val="uk-UA"/>
        </w:rPr>
        <w:br/>
        <w:t>Тема уроку / виду діяльності: ____________________</w:t>
      </w:r>
    </w:p>
    <w:p w14:paraId="54113099" w14:textId="77777777" w:rsidR="004D658F" w:rsidRPr="00645F71" w:rsidRDefault="004D658F" w:rsidP="004D658F">
      <w:pPr>
        <w:spacing w:after="0" w:line="360" w:lineRule="auto"/>
        <w:rPr>
          <w:rFonts w:ascii="Times New Roman" w:hAnsi="Times New Roman" w:cs="Times New Roman"/>
          <w:sz w:val="28"/>
          <w:szCs w:val="28"/>
          <w:lang w:val="uk-UA"/>
        </w:rPr>
      </w:pPr>
    </w:p>
    <w:p w14:paraId="32822D75" w14:textId="77777777" w:rsidR="004D658F" w:rsidRPr="00645F71" w:rsidRDefault="004D658F" w:rsidP="004D658F">
      <w:pPr>
        <w:spacing w:after="0" w:line="360" w:lineRule="auto"/>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2. Показники педагогічного спостереження</w:t>
      </w:r>
    </w:p>
    <w:tbl>
      <w:tblPr>
        <w:tblStyle w:val="a8"/>
        <w:tblW w:w="0" w:type="auto"/>
        <w:tblLook w:val="04A0" w:firstRow="1" w:lastRow="0" w:firstColumn="1" w:lastColumn="0" w:noHBand="0" w:noVBand="1"/>
      </w:tblPr>
      <w:tblGrid>
        <w:gridCol w:w="438"/>
        <w:gridCol w:w="6928"/>
        <w:gridCol w:w="567"/>
        <w:gridCol w:w="567"/>
        <w:gridCol w:w="567"/>
        <w:gridCol w:w="562"/>
      </w:tblGrid>
      <w:tr w:rsidR="004D658F" w:rsidRPr="00645F71" w14:paraId="3094367E" w14:textId="77777777" w:rsidTr="0046298E">
        <w:tc>
          <w:tcPr>
            <w:tcW w:w="438" w:type="dxa"/>
            <w:vAlign w:val="center"/>
          </w:tcPr>
          <w:p w14:paraId="4716AD1B"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w:t>
            </w:r>
          </w:p>
        </w:tc>
        <w:tc>
          <w:tcPr>
            <w:tcW w:w="6928" w:type="dxa"/>
            <w:vAlign w:val="center"/>
          </w:tcPr>
          <w:p w14:paraId="4BFBC936"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Показник</w:t>
            </w:r>
          </w:p>
        </w:tc>
        <w:tc>
          <w:tcPr>
            <w:tcW w:w="567" w:type="dxa"/>
            <w:vAlign w:val="center"/>
          </w:tcPr>
          <w:p w14:paraId="156305BF"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0</w:t>
            </w:r>
          </w:p>
        </w:tc>
        <w:tc>
          <w:tcPr>
            <w:tcW w:w="567" w:type="dxa"/>
            <w:vAlign w:val="center"/>
          </w:tcPr>
          <w:p w14:paraId="12E01DCC"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1</w:t>
            </w:r>
          </w:p>
        </w:tc>
        <w:tc>
          <w:tcPr>
            <w:tcW w:w="567" w:type="dxa"/>
            <w:vAlign w:val="center"/>
          </w:tcPr>
          <w:p w14:paraId="3AE3D16F"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2</w:t>
            </w:r>
          </w:p>
        </w:tc>
        <w:tc>
          <w:tcPr>
            <w:tcW w:w="562" w:type="dxa"/>
            <w:vAlign w:val="center"/>
          </w:tcPr>
          <w:p w14:paraId="50E65D40"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3</w:t>
            </w:r>
          </w:p>
        </w:tc>
      </w:tr>
      <w:tr w:rsidR="004D658F" w:rsidRPr="00645F71" w14:paraId="060E492F" w14:textId="77777777" w:rsidTr="0046298E">
        <w:tc>
          <w:tcPr>
            <w:tcW w:w="9629" w:type="dxa"/>
            <w:gridSpan w:val="6"/>
            <w:vAlign w:val="center"/>
          </w:tcPr>
          <w:p w14:paraId="40FB5C3C" w14:textId="77777777" w:rsidR="004D658F" w:rsidRPr="00645F71" w:rsidRDefault="004D658F" w:rsidP="0046298E">
            <w:pPr>
              <w:rPr>
                <w:rFonts w:ascii="Times New Roman" w:hAnsi="Times New Roman" w:cs="Times New Roman"/>
                <w:lang w:val="uk-UA"/>
              </w:rPr>
            </w:pPr>
            <w:r w:rsidRPr="00645F71">
              <w:rPr>
                <w:rStyle w:val="aa"/>
                <w:rFonts w:ascii="Times New Roman" w:hAnsi="Times New Roman" w:cs="Times New Roman"/>
                <w:lang w:val="uk-UA"/>
              </w:rPr>
              <w:t>Мотиваційний компонент</w:t>
            </w:r>
          </w:p>
        </w:tc>
      </w:tr>
      <w:tr w:rsidR="004D658F" w:rsidRPr="00645F71" w14:paraId="4230AE3D" w14:textId="77777777" w:rsidTr="0046298E">
        <w:tc>
          <w:tcPr>
            <w:tcW w:w="438" w:type="dxa"/>
            <w:vAlign w:val="center"/>
          </w:tcPr>
          <w:p w14:paraId="6D1A4C50"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w:t>
            </w:r>
          </w:p>
        </w:tc>
        <w:tc>
          <w:tcPr>
            <w:tcW w:w="6928" w:type="dxa"/>
            <w:vAlign w:val="center"/>
          </w:tcPr>
          <w:p w14:paraId="24EE9AC4"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Виявляє інтерес до географічного матеріалу</w:t>
            </w:r>
          </w:p>
        </w:tc>
        <w:tc>
          <w:tcPr>
            <w:tcW w:w="567" w:type="dxa"/>
            <w:vAlign w:val="center"/>
          </w:tcPr>
          <w:p w14:paraId="70B414D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7913CF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9DC080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792CAE89"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1B9A9028" w14:textId="77777777" w:rsidTr="0046298E">
        <w:tc>
          <w:tcPr>
            <w:tcW w:w="438" w:type="dxa"/>
            <w:vAlign w:val="center"/>
          </w:tcPr>
          <w:p w14:paraId="6099265C"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2</w:t>
            </w:r>
          </w:p>
        </w:tc>
        <w:tc>
          <w:tcPr>
            <w:tcW w:w="6928" w:type="dxa"/>
            <w:vAlign w:val="center"/>
          </w:tcPr>
          <w:p w14:paraId="6E618D35"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Активно включається у виконання завдань</w:t>
            </w:r>
          </w:p>
        </w:tc>
        <w:tc>
          <w:tcPr>
            <w:tcW w:w="567" w:type="dxa"/>
            <w:vAlign w:val="center"/>
          </w:tcPr>
          <w:p w14:paraId="2F7318C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D8A3AC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AFD8569"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AF3F21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5EB42FE9" w14:textId="77777777" w:rsidTr="0046298E">
        <w:tc>
          <w:tcPr>
            <w:tcW w:w="438" w:type="dxa"/>
            <w:vAlign w:val="center"/>
          </w:tcPr>
          <w:p w14:paraId="13990C6D"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3</w:t>
            </w:r>
          </w:p>
        </w:tc>
        <w:tc>
          <w:tcPr>
            <w:tcW w:w="6928" w:type="dxa"/>
            <w:vAlign w:val="center"/>
          </w:tcPr>
          <w:p w14:paraId="717E666B"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Ставить запитання під час роботи</w:t>
            </w:r>
          </w:p>
        </w:tc>
        <w:tc>
          <w:tcPr>
            <w:tcW w:w="567" w:type="dxa"/>
            <w:vAlign w:val="center"/>
          </w:tcPr>
          <w:p w14:paraId="192C194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BD161D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AA2B09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0E5E9CDB"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496ED84C" w14:textId="77777777" w:rsidTr="0046298E">
        <w:tc>
          <w:tcPr>
            <w:tcW w:w="438" w:type="dxa"/>
            <w:vAlign w:val="center"/>
          </w:tcPr>
          <w:p w14:paraId="419ED9E2"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4</w:t>
            </w:r>
          </w:p>
        </w:tc>
        <w:tc>
          <w:tcPr>
            <w:tcW w:w="6928" w:type="dxa"/>
            <w:vAlign w:val="center"/>
          </w:tcPr>
          <w:p w14:paraId="06197D96"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Проявляє самостійність у діяльності</w:t>
            </w:r>
          </w:p>
        </w:tc>
        <w:tc>
          <w:tcPr>
            <w:tcW w:w="567" w:type="dxa"/>
            <w:vAlign w:val="center"/>
          </w:tcPr>
          <w:p w14:paraId="1AF385BD"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B5E578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D500AB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2B8DFC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3279A2F1" w14:textId="77777777" w:rsidTr="0046298E">
        <w:tc>
          <w:tcPr>
            <w:tcW w:w="9629" w:type="dxa"/>
            <w:gridSpan w:val="6"/>
            <w:vAlign w:val="center"/>
          </w:tcPr>
          <w:p w14:paraId="3C6CBC1E" w14:textId="77777777" w:rsidR="004D658F" w:rsidRPr="00645F71" w:rsidRDefault="004D658F" w:rsidP="0046298E">
            <w:pPr>
              <w:rPr>
                <w:rFonts w:ascii="Times New Roman" w:hAnsi="Times New Roman" w:cs="Times New Roman"/>
                <w:lang w:val="uk-UA"/>
              </w:rPr>
            </w:pPr>
            <w:r w:rsidRPr="00645F71">
              <w:rPr>
                <w:rStyle w:val="aa"/>
                <w:rFonts w:ascii="Times New Roman" w:hAnsi="Times New Roman" w:cs="Times New Roman"/>
                <w:lang w:val="uk-UA"/>
              </w:rPr>
              <w:t>Когнітивний компонент</w:t>
            </w:r>
          </w:p>
        </w:tc>
      </w:tr>
      <w:tr w:rsidR="004D658F" w:rsidRPr="00645F71" w14:paraId="2869A520" w14:textId="77777777" w:rsidTr="0046298E">
        <w:tc>
          <w:tcPr>
            <w:tcW w:w="438" w:type="dxa"/>
            <w:vAlign w:val="center"/>
          </w:tcPr>
          <w:p w14:paraId="7F6CBB6F"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5</w:t>
            </w:r>
          </w:p>
        </w:tc>
        <w:tc>
          <w:tcPr>
            <w:tcW w:w="6928" w:type="dxa"/>
            <w:vAlign w:val="center"/>
          </w:tcPr>
          <w:p w14:paraId="095F80E5"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Розуміє географічні поняття</w:t>
            </w:r>
          </w:p>
        </w:tc>
        <w:tc>
          <w:tcPr>
            <w:tcW w:w="567" w:type="dxa"/>
            <w:vAlign w:val="center"/>
          </w:tcPr>
          <w:p w14:paraId="2FE0968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5FA870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71A681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B18FB3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4A02D1D1" w14:textId="77777777" w:rsidTr="0046298E">
        <w:tc>
          <w:tcPr>
            <w:tcW w:w="438" w:type="dxa"/>
            <w:vAlign w:val="center"/>
          </w:tcPr>
          <w:p w14:paraId="77F08F0B"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6</w:t>
            </w:r>
          </w:p>
        </w:tc>
        <w:tc>
          <w:tcPr>
            <w:tcW w:w="6928" w:type="dxa"/>
            <w:vAlign w:val="center"/>
          </w:tcPr>
          <w:p w14:paraId="62AC91B4"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Встановлює причинно-наслідкові зв’язки</w:t>
            </w:r>
          </w:p>
        </w:tc>
        <w:tc>
          <w:tcPr>
            <w:tcW w:w="567" w:type="dxa"/>
            <w:vAlign w:val="center"/>
          </w:tcPr>
          <w:p w14:paraId="115E983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501FFB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8BC273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53915B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75FC9833" w14:textId="77777777" w:rsidTr="0046298E">
        <w:tc>
          <w:tcPr>
            <w:tcW w:w="438" w:type="dxa"/>
            <w:vAlign w:val="center"/>
          </w:tcPr>
          <w:p w14:paraId="69380B9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7</w:t>
            </w:r>
          </w:p>
        </w:tc>
        <w:tc>
          <w:tcPr>
            <w:tcW w:w="6928" w:type="dxa"/>
            <w:vAlign w:val="center"/>
          </w:tcPr>
          <w:p w14:paraId="2620FFA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Аналізує карту / таблицю / діаграму</w:t>
            </w:r>
          </w:p>
        </w:tc>
        <w:tc>
          <w:tcPr>
            <w:tcW w:w="567" w:type="dxa"/>
            <w:vAlign w:val="center"/>
          </w:tcPr>
          <w:p w14:paraId="5AFBE60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CB3B3B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50351C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B64D2E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37CED565" w14:textId="77777777" w:rsidTr="0046298E">
        <w:tc>
          <w:tcPr>
            <w:tcW w:w="438" w:type="dxa"/>
            <w:vAlign w:val="center"/>
          </w:tcPr>
          <w:p w14:paraId="7667CF04"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8</w:t>
            </w:r>
          </w:p>
        </w:tc>
        <w:tc>
          <w:tcPr>
            <w:tcW w:w="6928" w:type="dxa"/>
            <w:vAlign w:val="center"/>
          </w:tcPr>
          <w:p w14:paraId="077DBB47"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Формулює логічні висновки</w:t>
            </w:r>
          </w:p>
        </w:tc>
        <w:tc>
          <w:tcPr>
            <w:tcW w:w="567" w:type="dxa"/>
            <w:vAlign w:val="center"/>
          </w:tcPr>
          <w:p w14:paraId="7D8638C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13D2E0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31B35E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05EEDE3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078B87EC" w14:textId="77777777" w:rsidTr="0046298E">
        <w:tc>
          <w:tcPr>
            <w:tcW w:w="9629" w:type="dxa"/>
            <w:gridSpan w:val="6"/>
            <w:vAlign w:val="center"/>
          </w:tcPr>
          <w:p w14:paraId="14DD4422" w14:textId="77777777" w:rsidR="004D658F" w:rsidRPr="00645F71" w:rsidRDefault="004D658F" w:rsidP="0046298E">
            <w:pPr>
              <w:rPr>
                <w:rFonts w:ascii="Times New Roman" w:hAnsi="Times New Roman" w:cs="Times New Roman"/>
                <w:lang w:val="uk-UA"/>
              </w:rPr>
            </w:pPr>
            <w:r w:rsidRPr="00645F71">
              <w:rPr>
                <w:rStyle w:val="aa"/>
                <w:rFonts w:ascii="Times New Roman" w:hAnsi="Times New Roman" w:cs="Times New Roman"/>
                <w:lang w:val="uk-UA"/>
              </w:rPr>
              <w:t>Діяльнісний компонент</w:t>
            </w:r>
          </w:p>
        </w:tc>
      </w:tr>
      <w:tr w:rsidR="004D658F" w:rsidRPr="00645F71" w14:paraId="0D76C93D" w14:textId="77777777" w:rsidTr="0046298E">
        <w:tc>
          <w:tcPr>
            <w:tcW w:w="438" w:type="dxa"/>
            <w:vAlign w:val="center"/>
          </w:tcPr>
          <w:p w14:paraId="0EEA2BB9"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9</w:t>
            </w:r>
          </w:p>
        </w:tc>
        <w:tc>
          <w:tcPr>
            <w:tcW w:w="6928" w:type="dxa"/>
            <w:vAlign w:val="center"/>
          </w:tcPr>
          <w:p w14:paraId="489C1A85"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Працює з картою (орієнтація, аналіз)</w:t>
            </w:r>
          </w:p>
        </w:tc>
        <w:tc>
          <w:tcPr>
            <w:tcW w:w="567" w:type="dxa"/>
            <w:vAlign w:val="center"/>
          </w:tcPr>
          <w:p w14:paraId="27B230A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A00D2A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C9D362B"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0633D4C9"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518A676F" w14:textId="77777777" w:rsidTr="0046298E">
        <w:tc>
          <w:tcPr>
            <w:tcW w:w="438" w:type="dxa"/>
            <w:vAlign w:val="center"/>
          </w:tcPr>
          <w:p w14:paraId="2112CEB4"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10</w:t>
            </w:r>
          </w:p>
        </w:tc>
        <w:tc>
          <w:tcPr>
            <w:tcW w:w="6928" w:type="dxa"/>
            <w:vAlign w:val="center"/>
          </w:tcPr>
          <w:p w14:paraId="699082F0"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Збирає та фіксує дані</w:t>
            </w:r>
          </w:p>
        </w:tc>
        <w:tc>
          <w:tcPr>
            <w:tcW w:w="567" w:type="dxa"/>
            <w:vAlign w:val="center"/>
          </w:tcPr>
          <w:p w14:paraId="67FC303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0D19D1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14838A2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5574F5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5D310DBA" w14:textId="77777777" w:rsidTr="0046298E">
        <w:tc>
          <w:tcPr>
            <w:tcW w:w="438" w:type="dxa"/>
            <w:vAlign w:val="center"/>
          </w:tcPr>
          <w:p w14:paraId="45AEF014"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lastRenderedPageBreak/>
              <w:t>11</w:t>
            </w:r>
          </w:p>
        </w:tc>
        <w:tc>
          <w:tcPr>
            <w:tcW w:w="6928" w:type="dxa"/>
            <w:vAlign w:val="center"/>
          </w:tcPr>
          <w:p w14:paraId="633D188A"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Порівнює об’єкти / явища</w:t>
            </w:r>
          </w:p>
        </w:tc>
        <w:tc>
          <w:tcPr>
            <w:tcW w:w="567" w:type="dxa"/>
            <w:vAlign w:val="center"/>
          </w:tcPr>
          <w:p w14:paraId="39E347D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F47D78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2250AE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21FE8C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4F187786" w14:textId="77777777" w:rsidTr="0046298E">
        <w:tc>
          <w:tcPr>
            <w:tcW w:w="438" w:type="dxa"/>
            <w:vAlign w:val="center"/>
          </w:tcPr>
          <w:p w14:paraId="3DE87BB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12</w:t>
            </w:r>
          </w:p>
        </w:tc>
        <w:tc>
          <w:tcPr>
            <w:tcW w:w="6928" w:type="dxa"/>
            <w:vAlign w:val="center"/>
          </w:tcPr>
          <w:p w14:paraId="1ADE67C8"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Виконує дослідницькі дії</w:t>
            </w:r>
          </w:p>
        </w:tc>
        <w:tc>
          <w:tcPr>
            <w:tcW w:w="567" w:type="dxa"/>
            <w:vAlign w:val="center"/>
          </w:tcPr>
          <w:p w14:paraId="614030C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69B58CA"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0AA472D"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5F7964A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4B8FEF98" w14:textId="77777777" w:rsidTr="0046298E">
        <w:tc>
          <w:tcPr>
            <w:tcW w:w="9629" w:type="dxa"/>
            <w:gridSpan w:val="6"/>
            <w:vAlign w:val="center"/>
          </w:tcPr>
          <w:p w14:paraId="78AE235F" w14:textId="77777777" w:rsidR="004D658F" w:rsidRPr="00645F71" w:rsidRDefault="004D658F" w:rsidP="0046298E">
            <w:pPr>
              <w:rPr>
                <w:rFonts w:ascii="Times New Roman" w:hAnsi="Times New Roman" w:cs="Times New Roman"/>
                <w:lang w:val="uk-UA"/>
              </w:rPr>
            </w:pPr>
            <w:r w:rsidRPr="00645F71">
              <w:rPr>
                <w:rStyle w:val="aa"/>
                <w:rFonts w:ascii="Times New Roman" w:hAnsi="Times New Roman" w:cs="Times New Roman"/>
                <w:lang w:val="uk-UA"/>
              </w:rPr>
              <w:t>Рефлексивний компонент</w:t>
            </w:r>
          </w:p>
        </w:tc>
      </w:tr>
      <w:tr w:rsidR="004D658F" w:rsidRPr="00645F71" w14:paraId="10582C63" w14:textId="77777777" w:rsidTr="0046298E">
        <w:tc>
          <w:tcPr>
            <w:tcW w:w="438" w:type="dxa"/>
            <w:vAlign w:val="center"/>
          </w:tcPr>
          <w:p w14:paraId="6BE76C4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13</w:t>
            </w:r>
          </w:p>
        </w:tc>
        <w:tc>
          <w:tcPr>
            <w:tcW w:w="6928" w:type="dxa"/>
            <w:vAlign w:val="center"/>
          </w:tcPr>
          <w:p w14:paraId="2831429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Оцінює власну роботу</w:t>
            </w:r>
          </w:p>
        </w:tc>
        <w:tc>
          <w:tcPr>
            <w:tcW w:w="567" w:type="dxa"/>
            <w:vAlign w:val="center"/>
          </w:tcPr>
          <w:p w14:paraId="04D3BB2D"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9C0628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4916D59"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0A1CDD0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10584986" w14:textId="77777777" w:rsidTr="0046298E">
        <w:tc>
          <w:tcPr>
            <w:tcW w:w="438" w:type="dxa"/>
            <w:vAlign w:val="center"/>
          </w:tcPr>
          <w:p w14:paraId="21AB997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14</w:t>
            </w:r>
          </w:p>
        </w:tc>
        <w:tc>
          <w:tcPr>
            <w:tcW w:w="6928" w:type="dxa"/>
            <w:vAlign w:val="center"/>
          </w:tcPr>
          <w:p w14:paraId="4F2A8F31"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Виявляє та виправляє помилки</w:t>
            </w:r>
          </w:p>
        </w:tc>
        <w:tc>
          <w:tcPr>
            <w:tcW w:w="567" w:type="dxa"/>
            <w:vAlign w:val="center"/>
          </w:tcPr>
          <w:p w14:paraId="2EC4306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781C4F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86D567A"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659B42A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542C29DD" w14:textId="77777777" w:rsidTr="0046298E">
        <w:tc>
          <w:tcPr>
            <w:tcW w:w="438" w:type="dxa"/>
            <w:vAlign w:val="center"/>
          </w:tcPr>
          <w:p w14:paraId="26095925"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15</w:t>
            </w:r>
          </w:p>
        </w:tc>
        <w:tc>
          <w:tcPr>
            <w:tcW w:w="6928" w:type="dxa"/>
            <w:vAlign w:val="center"/>
          </w:tcPr>
          <w:p w14:paraId="4FADB483"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Усвідомлює отримані результати</w:t>
            </w:r>
          </w:p>
        </w:tc>
        <w:tc>
          <w:tcPr>
            <w:tcW w:w="567" w:type="dxa"/>
            <w:vAlign w:val="center"/>
          </w:tcPr>
          <w:p w14:paraId="55F2D7C9"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04D1DD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97DFF6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1BB941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726781E3" w14:textId="77777777" w:rsidTr="0046298E">
        <w:tc>
          <w:tcPr>
            <w:tcW w:w="438" w:type="dxa"/>
            <w:vAlign w:val="center"/>
          </w:tcPr>
          <w:p w14:paraId="3D4EED62"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16</w:t>
            </w:r>
          </w:p>
        </w:tc>
        <w:tc>
          <w:tcPr>
            <w:tcW w:w="6928" w:type="dxa"/>
            <w:vAlign w:val="center"/>
          </w:tcPr>
          <w:p w14:paraId="17F5AA3C" w14:textId="77777777" w:rsidR="004D658F" w:rsidRPr="00645F71" w:rsidRDefault="004D658F" w:rsidP="0046298E">
            <w:pPr>
              <w:rPr>
                <w:rFonts w:ascii="Times New Roman" w:hAnsi="Times New Roman" w:cs="Times New Roman"/>
                <w:lang w:val="uk-UA"/>
              </w:rPr>
            </w:pPr>
            <w:r w:rsidRPr="00645F71">
              <w:rPr>
                <w:rFonts w:ascii="Times New Roman" w:hAnsi="Times New Roman" w:cs="Times New Roman"/>
                <w:lang w:val="uk-UA"/>
              </w:rPr>
              <w:t>Презентує результати діяльності</w:t>
            </w:r>
          </w:p>
        </w:tc>
        <w:tc>
          <w:tcPr>
            <w:tcW w:w="567" w:type="dxa"/>
            <w:vAlign w:val="center"/>
          </w:tcPr>
          <w:p w14:paraId="46908D4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288893A"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B0544E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5430E25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bl>
    <w:p w14:paraId="07EEC559" w14:textId="77777777" w:rsidR="004D658F" w:rsidRPr="00645F71" w:rsidRDefault="004D658F" w:rsidP="004D658F">
      <w:pPr>
        <w:spacing w:after="0" w:line="360" w:lineRule="auto"/>
        <w:rPr>
          <w:rFonts w:ascii="Times New Roman" w:hAnsi="Times New Roman" w:cs="Times New Roman"/>
          <w:sz w:val="28"/>
          <w:szCs w:val="28"/>
          <w:lang w:val="uk-UA"/>
        </w:rPr>
      </w:pPr>
    </w:p>
    <w:p w14:paraId="6E159FC0" w14:textId="77777777" w:rsidR="004D658F" w:rsidRPr="00645F71" w:rsidRDefault="004D658F" w:rsidP="004D658F">
      <w:pPr>
        <w:spacing w:after="0" w:line="360" w:lineRule="auto"/>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3. Підрахунок результатів</w:t>
      </w:r>
    </w:p>
    <w:p w14:paraId="4E9E8056"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Сума балів: __________ / 48</w:t>
      </w:r>
    </w:p>
    <w:p w14:paraId="31AE3930" w14:textId="77777777" w:rsidR="004D658F" w:rsidRPr="00645F71" w:rsidRDefault="004D658F" w:rsidP="004D658F">
      <w:pPr>
        <w:spacing w:after="0" w:line="360" w:lineRule="auto"/>
        <w:rPr>
          <w:rFonts w:ascii="Times New Roman" w:hAnsi="Times New Roman" w:cs="Times New Roman"/>
          <w:sz w:val="28"/>
          <w:szCs w:val="28"/>
          <w:lang w:val="uk-UA"/>
        </w:rPr>
      </w:pPr>
    </w:p>
    <w:p w14:paraId="03D4A708" w14:textId="77777777" w:rsidR="004D658F" w:rsidRPr="00645F71" w:rsidRDefault="004D658F" w:rsidP="004D658F">
      <w:pPr>
        <w:spacing w:after="0" w:line="360" w:lineRule="auto"/>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4. Визначення рівня сформованості</w:t>
      </w:r>
    </w:p>
    <w:p w14:paraId="1018810D"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37-48 балів – високий рівень</w:t>
      </w:r>
    </w:p>
    <w:p w14:paraId="171B8A78"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25-36 балів – достатній рівень</w:t>
      </w:r>
    </w:p>
    <w:p w14:paraId="169BE0A8"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13-24 бали – середній рівень</w:t>
      </w:r>
    </w:p>
    <w:p w14:paraId="7506564F"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0-12 балів – початковий рівень</w:t>
      </w:r>
    </w:p>
    <w:p w14:paraId="0F2A0745" w14:textId="77777777" w:rsidR="004D658F" w:rsidRPr="00645F71" w:rsidRDefault="004D658F" w:rsidP="004D658F">
      <w:pPr>
        <w:spacing w:after="0" w:line="360" w:lineRule="auto"/>
        <w:rPr>
          <w:rFonts w:ascii="Times New Roman" w:hAnsi="Times New Roman" w:cs="Times New Roman"/>
          <w:sz w:val="28"/>
          <w:szCs w:val="28"/>
          <w:lang w:val="uk-UA"/>
        </w:rPr>
      </w:pPr>
    </w:p>
    <w:p w14:paraId="5A658B33"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Рівень: ____________________________</w:t>
      </w:r>
    </w:p>
    <w:p w14:paraId="049A1905" w14:textId="77777777" w:rsidR="004D658F" w:rsidRPr="00645F71" w:rsidRDefault="004D658F" w:rsidP="004D658F">
      <w:pPr>
        <w:spacing w:after="0" w:line="360" w:lineRule="auto"/>
        <w:rPr>
          <w:rFonts w:ascii="Times New Roman" w:hAnsi="Times New Roman" w:cs="Times New Roman"/>
          <w:sz w:val="28"/>
          <w:szCs w:val="28"/>
          <w:lang w:val="uk-UA"/>
        </w:rPr>
      </w:pPr>
    </w:p>
    <w:p w14:paraId="26BE811A" w14:textId="77777777" w:rsidR="004D658F" w:rsidRPr="00645F71" w:rsidRDefault="004D658F" w:rsidP="004D658F">
      <w:pPr>
        <w:spacing w:after="0" w:line="360" w:lineRule="auto"/>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5. Якісний аналіз (коментар вчителя)</w:t>
      </w:r>
    </w:p>
    <w:p w14:paraId="756B8355"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Сильні сторони учня:__________________________________________________</w:t>
      </w:r>
    </w:p>
    <w:p w14:paraId="389A3942"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Труднощі у навчанні:__________________________________________________</w:t>
      </w:r>
    </w:p>
    <w:p w14:paraId="0F9369AD" w14:textId="77777777" w:rsidR="004D658F" w:rsidRPr="00645F71" w:rsidRDefault="004D658F" w:rsidP="004D658F">
      <w:pPr>
        <w:spacing w:after="0" w:line="360" w:lineRule="auto"/>
        <w:rPr>
          <w:rFonts w:ascii="Times New Roman" w:hAnsi="Times New Roman" w:cs="Times New Roman"/>
          <w:sz w:val="28"/>
          <w:szCs w:val="28"/>
          <w:lang w:val="uk-UA"/>
        </w:rPr>
      </w:pPr>
      <w:r w:rsidRPr="00645F71">
        <w:rPr>
          <w:rFonts w:ascii="Times New Roman" w:hAnsi="Times New Roman" w:cs="Times New Roman"/>
          <w:sz w:val="28"/>
          <w:szCs w:val="28"/>
          <w:lang w:val="uk-UA"/>
        </w:rPr>
        <w:t>Рекомендації:_________________________________________________________</w:t>
      </w:r>
    </w:p>
    <w:p w14:paraId="2549DD61" w14:textId="77777777" w:rsidR="004D658F" w:rsidRPr="00645F71" w:rsidRDefault="004D658F" w:rsidP="004D658F">
      <w:pPr>
        <w:spacing w:after="0" w:line="360" w:lineRule="auto"/>
        <w:rPr>
          <w:rFonts w:ascii="Times New Roman" w:hAnsi="Times New Roman" w:cs="Times New Roman"/>
          <w:sz w:val="28"/>
          <w:szCs w:val="28"/>
          <w:lang w:val="uk-UA"/>
        </w:rPr>
      </w:pPr>
    </w:p>
    <w:p w14:paraId="1DBE8950" w14:textId="77777777" w:rsidR="004D658F" w:rsidRPr="00645F71" w:rsidRDefault="004D658F" w:rsidP="004D658F">
      <w:pPr>
        <w:spacing w:after="0" w:line="360" w:lineRule="auto"/>
        <w:rPr>
          <w:rFonts w:ascii="Times New Roman" w:hAnsi="Times New Roman" w:cs="Times New Roman"/>
          <w:sz w:val="28"/>
          <w:szCs w:val="28"/>
          <w:lang w:val="uk-UA"/>
        </w:rPr>
      </w:pPr>
    </w:p>
    <w:p w14:paraId="31A688F2" w14:textId="77777777" w:rsidR="004D658F" w:rsidRPr="00645F71" w:rsidRDefault="004D658F" w:rsidP="004D658F">
      <w:pPr>
        <w:spacing w:after="0" w:line="360" w:lineRule="auto"/>
        <w:rPr>
          <w:rFonts w:ascii="Times New Roman" w:hAnsi="Times New Roman" w:cs="Times New Roman"/>
          <w:sz w:val="28"/>
          <w:szCs w:val="28"/>
          <w:lang w:val="uk-UA"/>
        </w:rPr>
      </w:pPr>
    </w:p>
    <w:p w14:paraId="5CE07F4F" w14:textId="77777777" w:rsidR="004D658F" w:rsidRPr="00645F71" w:rsidRDefault="004D658F" w:rsidP="004D658F">
      <w:pPr>
        <w:spacing w:after="0" w:line="360" w:lineRule="auto"/>
        <w:rPr>
          <w:rFonts w:ascii="Times New Roman" w:hAnsi="Times New Roman" w:cs="Times New Roman"/>
          <w:sz w:val="28"/>
          <w:szCs w:val="28"/>
          <w:lang w:val="uk-UA"/>
        </w:rPr>
      </w:pPr>
    </w:p>
    <w:p w14:paraId="2B80D9E9" w14:textId="77777777" w:rsidR="004D658F" w:rsidRPr="00645F71" w:rsidRDefault="004D658F" w:rsidP="004D658F">
      <w:pPr>
        <w:spacing w:after="0" w:line="360" w:lineRule="auto"/>
        <w:rPr>
          <w:rFonts w:ascii="Times New Roman" w:hAnsi="Times New Roman" w:cs="Times New Roman"/>
          <w:sz w:val="28"/>
          <w:szCs w:val="28"/>
          <w:lang w:val="uk-UA"/>
        </w:rPr>
      </w:pPr>
    </w:p>
    <w:p w14:paraId="09347BD1" w14:textId="77777777" w:rsidR="004D658F" w:rsidRPr="00645F71" w:rsidRDefault="004D658F" w:rsidP="004D658F">
      <w:pPr>
        <w:spacing w:after="0" w:line="360" w:lineRule="auto"/>
        <w:rPr>
          <w:rFonts w:ascii="Times New Roman" w:hAnsi="Times New Roman" w:cs="Times New Roman"/>
          <w:sz w:val="28"/>
          <w:szCs w:val="28"/>
          <w:lang w:val="uk-UA"/>
        </w:rPr>
      </w:pPr>
    </w:p>
    <w:p w14:paraId="3D7EAEEF" w14:textId="77777777" w:rsidR="004D658F" w:rsidRPr="00645F71" w:rsidRDefault="004D658F" w:rsidP="004D658F">
      <w:pPr>
        <w:spacing w:after="0" w:line="360" w:lineRule="auto"/>
        <w:rPr>
          <w:rFonts w:ascii="Times New Roman" w:hAnsi="Times New Roman" w:cs="Times New Roman"/>
          <w:sz w:val="28"/>
          <w:szCs w:val="28"/>
          <w:lang w:val="uk-UA"/>
        </w:rPr>
      </w:pPr>
    </w:p>
    <w:p w14:paraId="4009CE88" w14:textId="77777777" w:rsidR="004D658F" w:rsidRPr="00645F71" w:rsidRDefault="004D658F" w:rsidP="004D658F">
      <w:pPr>
        <w:spacing w:after="0" w:line="360" w:lineRule="auto"/>
        <w:rPr>
          <w:rFonts w:ascii="Times New Roman" w:hAnsi="Times New Roman" w:cs="Times New Roman"/>
          <w:sz w:val="28"/>
          <w:szCs w:val="28"/>
          <w:lang w:val="uk-UA"/>
        </w:rPr>
      </w:pPr>
    </w:p>
    <w:p w14:paraId="53450ABA" w14:textId="77777777" w:rsidR="004D658F" w:rsidRPr="00645F71" w:rsidRDefault="004D658F" w:rsidP="004D658F">
      <w:pPr>
        <w:spacing w:after="0" w:line="360" w:lineRule="auto"/>
        <w:rPr>
          <w:rFonts w:ascii="Times New Roman" w:hAnsi="Times New Roman" w:cs="Times New Roman"/>
          <w:sz w:val="28"/>
          <w:szCs w:val="28"/>
          <w:lang w:val="uk-UA"/>
        </w:rPr>
      </w:pPr>
    </w:p>
    <w:p w14:paraId="1AB95AD0" w14:textId="77777777" w:rsidR="004D658F" w:rsidRPr="00645F71" w:rsidRDefault="004D658F" w:rsidP="004D658F">
      <w:pPr>
        <w:spacing w:after="0" w:line="360" w:lineRule="auto"/>
        <w:jc w:val="right"/>
        <w:rPr>
          <w:rFonts w:ascii="Times New Roman" w:hAnsi="Times New Roman" w:cs="Times New Roman"/>
          <w:sz w:val="28"/>
          <w:szCs w:val="28"/>
          <w:lang w:val="uk-UA"/>
        </w:rPr>
      </w:pPr>
      <w:r w:rsidRPr="00645F71">
        <w:rPr>
          <w:rFonts w:ascii="Times New Roman" w:hAnsi="Times New Roman" w:cs="Times New Roman"/>
          <w:sz w:val="28"/>
          <w:szCs w:val="28"/>
          <w:lang w:val="uk-UA"/>
        </w:rPr>
        <w:lastRenderedPageBreak/>
        <w:t>Додаток Г</w:t>
      </w:r>
    </w:p>
    <w:p w14:paraId="53DD9DDA"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p>
    <w:p w14:paraId="77FD8830"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Чек-лист оцінювання дослідницьких умінь учнів на уроці географії</w:t>
      </w:r>
    </w:p>
    <w:p w14:paraId="545E8B07"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p>
    <w:p w14:paraId="4A087378"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 xml:space="preserve">Інструкція для використання. </w:t>
      </w:r>
      <w:r w:rsidRPr="00645F71">
        <w:rPr>
          <w:rFonts w:ascii="Times New Roman" w:hAnsi="Times New Roman" w:cs="Times New Roman"/>
          <w:sz w:val="28"/>
          <w:szCs w:val="28"/>
          <w:lang w:val="uk-UA"/>
        </w:rPr>
        <w:t>Чек-лист призначений для оцінювання сформованості дослідницьких умінь учнів під час виконання практичних робіт, мініпроєктів, уроків-досліджень.</w:t>
      </w:r>
    </w:p>
    <w:p w14:paraId="414299F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Оцінювання здійснюється за шкалою:</w:t>
      </w:r>
    </w:p>
    <w:p w14:paraId="33194444"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0 балів – уміння не проявляється</w:t>
      </w:r>
    </w:p>
    <w:p w14:paraId="6B5CACA2"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1 бал – проявляється частково, з допомогою</w:t>
      </w:r>
    </w:p>
    <w:p w14:paraId="5D57AB1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2 бали – проявляється достатньо, але нестійко</w:t>
      </w:r>
    </w:p>
    <w:p w14:paraId="074AEB39"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3 бали – проявляється самостійно та впевнено</w:t>
      </w:r>
    </w:p>
    <w:p w14:paraId="602E8BB9"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1. Загальна інформація</w:t>
      </w:r>
    </w:p>
    <w:p w14:paraId="74B323E0" w14:textId="77777777" w:rsidR="004D658F" w:rsidRPr="00645F71"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Прізвище, ім’я учня: ____________________________</w:t>
      </w:r>
    </w:p>
    <w:p w14:paraId="17744941" w14:textId="77777777" w:rsidR="004D658F" w:rsidRPr="00645F71"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Клас: __________</w:t>
      </w:r>
    </w:p>
    <w:p w14:paraId="632B0646" w14:textId="77777777" w:rsidR="004D658F" w:rsidRPr="00645F71"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Дата: ____________________________</w:t>
      </w:r>
    </w:p>
    <w:p w14:paraId="049C8619" w14:textId="77777777" w:rsidR="004D658F" w:rsidRPr="00645F71" w:rsidRDefault="004D658F" w:rsidP="004D658F">
      <w:p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Тема роботи: ______________________</w:t>
      </w:r>
    </w:p>
    <w:p w14:paraId="03D11852"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2. Чек-лист дослідницьких умінь</w:t>
      </w:r>
    </w:p>
    <w:tbl>
      <w:tblPr>
        <w:tblStyle w:val="a8"/>
        <w:tblW w:w="0" w:type="auto"/>
        <w:tblLook w:val="04A0" w:firstRow="1" w:lastRow="0" w:firstColumn="1" w:lastColumn="0" w:noHBand="0" w:noVBand="1"/>
      </w:tblPr>
      <w:tblGrid>
        <w:gridCol w:w="438"/>
        <w:gridCol w:w="6928"/>
        <w:gridCol w:w="567"/>
        <w:gridCol w:w="567"/>
        <w:gridCol w:w="567"/>
        <w:gridCol w:w="562"/>
      </w:tblGrid>
      <w:tr w:rsidR="004D658F" w:rsidRPr="00645F71" w14:paraId="27804D01" w14:textId="77777777" w:rsidTr="0046298E">
        <w:tc>
          <w:tcPr>
            <w:tcW w:w="438" w:type="dxa"/>
            <w:vAlign w:val="center"/>
          </w:tcPr>
          <w:p w14:paraId="079EADDA"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w:t>
            </w:r>
          </w:p>
        </w:tc>
        <w:tc>
          <w:tcPr>
            <w:tcW w:w="6928" w:type="dxa"/>
            <w:vAlign w:val="center"/>
          </w:tcPr>
          <w:p w14:paraId="6D80302D"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Дослідницьке уміння</w:t>
            </w:r>
          </w:p>
        </w:tc>
        <w:tc>
          <w:tcPr>
            <w:tcW w:w="567" w:type="dxa"/>
            <w:vAlign w:val="center"/>
          </w:tcPr>
          <w:p w14:paraId="69C52016"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0</w:t>
            </w:r>
          </w:p>
        </w:tc>
        <w:tc>
          <w:tcPr>
            <w:tcW w:w="567" w:type="dxa"/>
            <w:vAlign w:val="center"/>
          </w:tcPr>
          <w:p w14:paraId="4A6CE201"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1</w:t>
            </w:r>
          </w:p>
        </w:tc>
        <w:tc>
          <w:tcPr>
            <w:tcW w:w="567" w:type="dxa"/>
            <w:vAlign w:val="center"/>
          </w:tcPr>
          <w:p w14:paraId="4E271D6C"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2</w:t>
            </w:r>
          </w:p>
        </w:tc>
        <w:tc>
          <w:tcPr>
            <w:tcW w:w="562" w:type="dxa"/>
            <w:vAlign w:val="center"/>
          </w:tcPr>
          <w:p w14:paraId="4DA0A900" w14:textId="77777777" w:rsidR="004D658F" w:rsidRPr="00645F71" w:rsidRDefault="004D658F" w:rsidP="0046298E">
            <w:pPr>
              <w:jc w:val="center"/>
              <w:rPr>
                <w:rFonts w:ascii="Times New Roman" w:hAnsi="Times New Roman" w:cs="Times New Roman"/>
                <w:lang w:val="uk-UA"/>
              </w:rPr>
            </w:pPr>
            <w:r w:rsidRPr="00645F71">
              <w:rPr>
                <w:rFonts w:ascii="Times New Roman" w:hAnsi="Times New Roman" w:cs="Times New Roman"/>
                <w:b/>
                <w:bCs/>
                <w:lang w:val="uk-UA"/>
              </w:rPr>
              <w:t>3</w:t>
            </w:r>
          </w:p>
        </w:tc>
      </w:tr>
      <w:tr w:rsidR="004D658F" w:rsidRPr="00645F71" w14:paraId="4D6ED6FD" w14:textId="77777777" w:rsidTr="0046298E">
        <w:tc>
          <w:tcPr>
            <w:tcW w:w="438" w:type="dxa"/>
            <w:vAlign w:val="center"/>
          </w:tcPr>
          <w:p w14:paraId="0016D757"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1</w:t>
            </w:r>
          </w:p>
        </w:tc>
        <w:tc>
          <w:tcPr>
            <w:tcW w:w="6928" w:type="dxa"/>
            <w:vAlign w:val="center"/>
          </w:tcPr>
          <w:p w14:paraId="074FCC06"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Формулює дослідницьке запитання</w:t>
            </w:r>
          </w:p>
        </w:tc>
        <w:tc>
          <w:tcPr>
            <w:tcW w:w="567" w:type="dxa"/>
            <w:vAlign w:val="center"/>
          </w:tcPr>
          <w:p w14:paraId="1B52A42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C6F2B9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FE94BC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40CE30B"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063062A5" w14:textId="77777777" w:rsidTr="0046298E">
        <w:tc>
          <w:tcPr>
            <w:tcW w:w="438" w:type="dxa"/>
            <w:vAlign w:val="center"/>
          </w:tcPr>
          <w:p w14:paraId="303A9861"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2</w:t>
            </w:r>
          </w:p>
        </w:tc>
        <w:tc>
          <w:tcPr>
            <w:tcW w:w="6928" w:type="dxa"/>
            <w:vAlign w:val="center"/>
          </w:tcPr>
          <w:p w14:paraId="52F48D5D"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Розуміє мету дослідження</w:t>
            </w:r>
          </w:p>
        </w:tc>
        <w:tc>
          <w:tcPr>
            <w:tcW w:w="567" w:type="dxa"/>
            <w:vAlign w:val="center"/>
          </w:tcPr>
          <w:p w14:paraId="0AE0179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1F6619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40A8DE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53F2018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577A0562" w14:textId="77777777" w:rsidTr="0046298E">
        <w:tc>
          <w:tcPr>
            <w:tcW w:w="438" w:type="dxa"/>
            <w:vAlign w:val="center"/>
          </w:tcPr>
          <w:p w14:paraId="094510F0"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3</w:t>
            </w:r>
          </w:p>
        </w:tc>
        <w:tc>
          <w:tcPr>
            <w:tcW w:w="6928" w:type="dxa"/>
            <w:vAlign w:val="center"/>
          </w:tcPr>
          <w:p w14:paraId="39A7751F"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Визначає, які дані необхідні</w:t>
            </w:r>
          </w:p>
        </w:tc>
        <w:tc>
          <w:tcPr>
            <w:tcW w:w="567" w:type="dxa"/>
            <w:vAlign w:val="center"/>
          </w:tcPr>
          <w:p w14:paraId="6844E6F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65EC27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C5641EA"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42B982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1A47801E" w14:textId="77777777" w:rsidTr="0046298E">
        <w:tc>
          <w:tcPr>
            <w:tcW w:w="438" w:type="dxa"/>
            <w:vAlign w:val="center"/>
          </w:tcPr>
          <w:p w14:paraId="7F2D7749"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4</w:t>
            </w:r>
          </w:p>
        </w:tc>
        <w:tc>
          <w:tcPr>
            <w:tcW w:w="6928" w:type="dxa"/>
            <w:vAlign w:val="center"/>
          </w:tcPr>
          <w:p w14:paraId="0E4620EF"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Добирає джерела інформації (карта, текст, статистика)</w:t>
            </w:r>
          </w:p>
        </w:tc>
        <w:tc>
          <w:tcPr>
            <w:tcW w:w="567" w:type="dxa"/>
            <w:vAlign w:val="center"/>
          </w:tcPr>
          <w:p w14:paraId="336A3C9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0DA2C5B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888EAE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77A89AC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1E95F4A2" w14:textId="77777777" w:rsidTr="0046298E">
        <w:tc>
          <w:tcPr>
            <w:tcW w:w="438" w:type="dxa"/>
            <w:vAlign w:val="center"/>
          </w:tcPr>
          <w:p w14:paraId="440ACA0D"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5</w:t>
            </w:r>
          </w:p>
        </w:tc>
        <w:tc>
          <w:tcPr>
            <w:tcW w:w="6928" w:type="dxa"/>
            <w:vAlign w:val="center"/>
          </w:tcPr>
          <w:p w14:paraId="6CF635AD"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Працює з картою (читає, аналізує)</w:t>
            </w:r>
          </w:p>
        </w:tc>
        <w:tc>
          <w:tcPr>
            <w:tcW w:w="567" w:type="dxa"/>
            <w:vAlign w:val="center"/>
          </w:tcPr>
          <w:p w14:paraId="3C762FB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1D10B7A0"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561478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2002983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74617836" w14:textId="77777777" w:rsidTr="0046298E">
        <w:tc>
          <w:tcPr>
            <w:tcW w:w="438" w:type="dxa"/>
            <w:vAlign w:val="center"/>
          </w:tcPr>
          <w:p w14:paraId="79D6BA59"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6</w:t>
            </w:r>
          </w:p>
        </w:tc>
        <w:tc>
          <w:tcPr>
            <w:tcW w:w="6928" w:type="dxa"/>
            <w:vAlign w:val="center"/>
          </w:tcPr>
          <w:p w14:paraId="3DB7DDD2"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Аналізує таблиці, діаграми, статистичні дані</w:t>
            </w:r>
          </w:p>
        </w:tc>
        <w:tc>
          <w:tcPr>
            <w:tcW w:w="567" w:type="dxa"/>
            <w:vAlign w:val="center"/>
          </w:tcPr>
          <w:p w14:paraId="51C593E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3C91F1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5BA014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7BCFF7C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1BCAC722" w14:textId="77777777" w:rsidTr="0046298E">
        <w:tc>
          <w:tcPr>
            <w:tcW w:w="438" w:type="dxa"/>
            <w:vAlign w:val="center"/>
          </w:tcPr>
          <w:p w14:paraId="5A4DB79C"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7</w:t>
            </w:r>
          </w:p>
        </w:tc>
        <w:tc>
          <w:tcPr>
            <w:tcW w:w="6928" w:type="dxa"/>
            <w:vAlign w:val="center"/>
          </w:tcPr>
          <w:p w14:paraId="7289CF95"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Виділяє ознаки для порівняння</w:t>
            </w:r>
          </w:p>
        </w:tc>
        <w:tc>
          <w:tcPr>
            <w:tcW w:w="567" w:type="dxa"/>
            <w:vAlign w:val="center"/>
          </w:tcPr>
          <w:p w14:paraId="2BED874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26AB9D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6367E57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23DACBD7"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0A08827C" w14:textId="77777777" w:rsidTr="0046298E">
        <w:tc>
          <w:tcPr>
            <w:tcW w:w="438" w:type="dxa"/>
            <w:vAlign w:val="center"/>
          </w:tcPr>
          <w:p w14:paraId="4D461687"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8</w:t>
            </w:r>
          </w:p>
        </w:tc>
        <w:tc>
          <w:tcPr>
            <w:tcW w:w="6928" w:type="dxa"/>
            <w:vAlign w:val="center"/>
          </w:tcPr>
          <w:p w14:paraId="14DB1535"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Порівнює географічні об’єкти/явища</w:t>
            </w:r>
          </w:p>
        </w:tc>
        <w:tc>
          <w:tcPr>
            <w:tcW w:w="567" w:type="dxa"/>
            <w:vAlign w:val="center"/>
          </w:tcPr>
          <w:p w14:paraId="33C955C4"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DEC0CE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3B8E04C"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1681BBA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0CBFEC33" w14:textId="77777777" w:rsidTr="0046298E">
        <w:tc>
          <w:tcPr>
            <w:tcW w:w="438" w:type="dxa"/>
            <w:vAlign w:val="center"/>
          </w:tcPr>
          <w:p w14:paraId="038284D9"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9</w:t>
            </w:r>
          </w:p>
        </w:tc>
        <w:tc>
          <w:tcPr>
            <w:tcW w:w="6928" w:type="dxa"/>
            <w:vAlign w:val="center"/>
          </w:tcPr>
          <w:p w14:paraId="412F3C58"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Узагальнює отримані результати</w:t>
            </w:r>
          </w:p>
        </w:tc>
        <w:tc>
          <w:tcPr>
            <w:tcW w:w="567" w:type="dxa"/>
            <w:vAlign w:val="center"/>
          </w:tcPr>
          <w:p w14:paraId="4C2AC8B2"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0622E8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19EDC8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767F4D28"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743BB61E" w14:textId="77777777" w:rsidTr="0046298E">
        <w:tc>
          <w:tcPr>
            <w:tcW w:w="438" w:type="dxa"/>
            <w:vAlign w:val="center"/>
          </w:tcPr>
          <w:p w14:paraId="39D50CF6"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10</w:t>
            </w:r>
          </w:p>
        </w:tc>
        <w:tc>
          <w:tcPr>
            <w:tcW w:w="6928" w:type="dxa"/>
            <w:vAlign w:val="center"/>
          </w:tcPr>
          <w:p w14:paraId="3D5F0831"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Формулює логічний висновок</w:t>
            </w:r>
          </w:p>
        </w:tc>
        <w:tc>
          <w:tcPr>
            <w:tcW w:w="567" w:type="dxa"/>
            <w:vAlign w:val="center"/>
          </w:tcPr>
          <w:p w14:paraId="01CA1CF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1C4F48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3BE6F5D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2671BBBB"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41E844DB" w14:textId="77777777" w:rsidTr="0046298E">
        <w:tc>
          <w:tcPr>
            <w:tcW w:w="438" w:type="dxa"/>
            <w:vAlign w:val="center"/>
          </w:tcPr>
          <w:p w14:paraId="31C69E27"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11</w:t>
            </w:r>
          </w:p>
        </w:tc>
        <w:tc>
          <w:tcPr>
            <w:tcW w:w="6928" w:type="dxa"/>
            <w:vAlign w:val="center"/>
          </w:tcPr>
          <w:p w14:paraId="2BADFE62"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Аргументує свою думку</w:t>
            </w:r>
          </w:p>
        </w:tc>
        <w:tc>
          <w:tcPr>
            <w:tcW w:w="567" w:type="dxa"/>
            <w:vAlign w:val="center"/>
          </w:tcPr>
          <w:p w14:paraId="4D04C2A1"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4AAB69D6"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2D081E4B"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2B7EFE2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r w:rsidR="004D658F" w:rsidRPr="00645F71" w14:paraId="6A2FF04C" w14:textId="77777777" w:rsidTr="0046298E">
        <w:tc>
          <w:tcPr>
            <w:tcW w:w="438" w:type="dxa"/>
            <w:vAlign w:val="center"/>
          </w:tcPr>
          <w:p w14:paraId="06A64B9F"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12</w:t>
            </w:r>
          </w:p>
        </w:tc>
        <w:tc>
          <w:tcPr>
            <w:tcW w:w="6928" w:type="dxa"/>
            <w:vAlign w:val="center"/>
          </w:tcPr>
          <w:p w14:paraId="34AFBFDF" w14:textId="77777777" w:rsidR="004D658F" w:rsidRPr="00645F71" w:rsidRDefault="004D658F" w:rsidP="0046298E">
            <w:pPr>
              <w:jc w:val="both"/>
              <w:rPr>
                <w:rFonts w:ascii="Times New Roman" w:hAnsi="Times New Roman" w:cs="Times New Roman"/>
                <w:lang w:val="uk-UA"/>
              </w:rPr>
            </w:pPr>
            <w:r w:rsidRPr="00645F71">
              <w:rPr>
                <w:rFonts w:ascii="Times New Roman" w:hAnsi="Times New Roman" w:cs="Times New Roman"/>
                <w:lang w:val="uk-UA"/>
              </w:rPr>
              <w:t>Презентує результати дослідження</w:t>
            </w:r>
          </w:p>
        </w:tc>
        <w:tc>
          <w:tcPr>
            <w:tcW w:w="567" w:type="dxa"/>
            <w:vAlign w:val="center"/>
          </w:tcPr>
          <w:p w14:paraId="55608ED3"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7454130F"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7" w:type="dxa"/>
            <w:vAlign w:val="center"/>
          </w:tcPr>
          <w:p w14:paraId="586C218E"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c>
          <w:tcPr>
            <w:tcW w:w="562" w:type="dxa"/>
            <w:vAlign w:val="center"/>
          </w:tcPr>
          <w:p w14:paraId="47502F35" w14:textId="77777777" w:rsidR="004D658F" w:rsidRPr="00645F71" w:rsidRDefault="004D658F" w:rsidP="0046298E">
            <w:pPr>
              <w:jc w:val="center"/>
              <w:rPr>
                <w:rFonts w:ascii="Times New Roman" w:hAnsi="Times New Roman" w:cs="Times New Roman"/>
                <w:lang w:val="uk-UA"/>
              </w:rPr>
            </w:pPr>
            <w:r w:rsidRPr="00645F71">
              <w:rPr>
                <w:rFonts w:ascii="Segoe UI Symbol" w:hAnsi="Segoe UI Symbol" w:cs="Segoe UI Symbol"/>
                <w:lang w:val="uk-UA"/>
              </w:rPr>
              <w:t>☐</w:t>
            </w:r>
          </w:p>
        </w:tc>
      </w:tr>
    </w:tbl>
    <w:p w14:paraId="4C2290F7" w14:textId="77777777" w:rsidR="004D658F" w:rsidRPr="00645F71" w:rsidRDefault="004D658F" w:rsidP="004D658F">
      <w:pPr>
        <w:spacing w:after="0" w:line="360" w:lineRule="auto"/>
        <w:jc w:val="both"/>
        <w:rPr>
          <w:rFonts w:ascii="Times New Roman" w:hAnsi="Times New Roman" w:cs="Times New Roman"/>
          <w:sz w:val="28"/>
          <w:szCs w:val="28"/>
          <w:lang w:val="uk-UA"/>
        </w:rPr>
      </w:pPr>
    </w:p>
    <w:p w14:paraId="65202926"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3. Підрахунок результатів</w:t>
      </w:r>
    </w:p>
    <w:p w14:paraId="1DD77358"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Сума балів: __________ / 36</w:t>
      </w:r>
    </w:p>
    <w:p w14:paraId="6D70B6F4"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p>
    <w:p w14:paraId="1827B37E"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lastRenderedPageBreak/>
        <w:t>4. Рівні сформованості дослідницьких умінь</w:t>
      </w:r>
    </w:p>
    <w:p w14:paraId="461D9E3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28-36 балів – високий рівень</w:t>
      </w:r>
    </w:p>
    <w:p w14:paraId="794AD18E"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19-27 балів – достатній рівень</w:t>
      </w:r>
    </w:p>
    <w:p w14:paraId="46563C48"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10-18 балів – середній рівень</w:t>
      </w:r>
    </w:p>
    <w:p w14:paraId="75536E32"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0-9 балів – початковий рівень</w:t>
      </w:r>
    </w:p>
    <w:p w14:paraId="1CB75E6A"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p>
    <w:p w14:paraId="41ADD1D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Рівень: ____________________________</w:t>
      </w:r>
    </w:p>
    <w:p w14:paraId="4458DE75"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p>
    <w:p w14:paraId="205AF9CF"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5. Рефлексія (за потреби)</w:t>
      </w:r>
    </w:p>
    <w:p w14:paraId="5D2E42BA" w14:textId="77777777" w:rsidR="004D658F" w:rsidRPr="00645F71" w:rsidRDefault="004D658F" w:rsidP="004D658F">
      <w:pPr>
        <w:pStyle w:val="a7"/>
        <w:numPr>
          <w:ilvl w:val="0"/>
          <w:numId w:val="21"/>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Що вдалося найкраще:____________________________________________</w:t>
      </w:r>
    </w:p>
    <w:p w14:paraId="52C2D32E" w14:textId="77777777" w:rsidR="004D658F" w:rsidRPr="00645F71" w:rsidRDefault="004D658F" w:rsidP="004D658F">
      <w:pPr>
        <w:pStyle w:val="a7"/>
        <w:numPr>
          <w:ilvl w:val="0"/>
          <w:numId w:val="21"/>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Що було складно:________________________________________________</w:t>
      </w:r>
    </w:p>
    <w:p w14:paraId="172C5DFC" w14:textId="77777777" w:rsidR="004D658F" w:rsidRPr="00645F71" w:rsidRDefault="004D658F" w:rsidP="004D658F">
      <w:pPr>
        <w:pStyle w:val="a7"/>
        <w:numPr>
          <w:ilvl w:val="0"/>
          <w:numId w:val="21"/>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Що варто покращити:_____________________________________________</w:t>
      </w:r>
    </w:p>
    <w:p w14:paraId="1C1E50F5"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52149AA0"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7B7CBADF"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7B19F98A"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2E871F24"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10C2733C"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0ECB7F65"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2FE2FAD1"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31BCF573"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3921083B"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434595E7"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5F9489EB"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607BF5C1"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0E8FD0D9"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3E4BBF3E"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7AF48004"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10E01922"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0030F49D" w14:textId="77777777" w:rsidR="004D658F" w:rsidRPr="00645F71" w:rsidRDefault="004D658F" w:rsidP="004D658F">
      <w:pPr>
        <w:spacing w:after="0" w:line="360" w:lineRule="auto"/>
        <w:jc w:val="right"/>
        <w:rPr>
          <w:rFonts w:ascii="Times New Roman" w:hAnsi="Times New Roman" w:cs="Times New Roman"/>
          <w:sz w:val="28"/>
          <w:szCs w:val="28"/>
          <w:lang w:val="uk-UA"/>
        </w:rPr>
      </w:pPr>
    </w:p>
    <w:p w14:paraId="7124D48B" w14:textId="77777777" w:rsidR="004D658F" w:rsidRPr="00645F71" w:rsidRDefault="004D658F" w:rsidP="004D658F">
      <w:pPr>
        <w:spacing w:after="0" w:line="360" w:lineRule="auto"/>
        <w:jc w:val="right"/>
        <w:rPr>
          <w:rFonts w:ascii="Times New Roman" w:hAnsi="Times New Roman" w:cs="Times New Roman"/>
          <w:sz w:val="28"/>
          <w:szCs w:val="28"/>
          <w:lang w:val="uk-UA"/>
        </w:rPr>
      </w:pPr>
      <w:r w:rsidRPr="00645F71">
        <w:rPr>
          <w:rFonts w:ascii="Times New Roman" w:hAnsi="Times New Roman" w:cs="Times New Roman"/>
          <w:sz w:val="28"/>
          <w:szCs w:val="28"/>
          <w:lang w:val="uk-UA"/>
        </w:rPr>
        <w:lastRenderedPageBreak/>
        <w:t>Додаток Д</w:t>
      </w:r>
    </w:p>
    <w:p w14:paraId="2CFACA77" w14:textId="77777777" w:rsidR="004D658F" w:rsidRPr="00645F71" w:rsidRDefault="004D658F" w:rsidP="004D658F">
      <w:pPr>
        <w:spacing w:after="0" w:line="360" w:lineRule="auto"/>
        <w:jc w:val="center"/>
        <w:rPr>
          <w:rFonts w:ascii="Times New Roman" w:hAnsi="Times New Roman" w:cs="Times New Roman"/>
          <w:sz w:val="28"/>
          <w:szCs w:val="28"/>
          <w:lang w:val="uk-UA"/>
        </w:rPr>
      </w:pPr>
    </w:p>
    <w:p w14:paraId="2C3603BC" w14:textId="77777777" w:rsidR="004D658F" w:rsidRPr="00645F71" w:rsidRDefault="004D658F" w:rsidP="004D658F">
      <w:pPr>
        <w:spacing w:after="0" w:line="360" w:lineRule="auto"/>
        <w:jc w:val="center"/>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Таблиця фіксації результатів сформованості географічних компетентностей учнів</w:t>
      </w:r>
    </w:p>
    <w:p w14:paraId="2F3A083B" w14:textId="77777777" w:rsidR="004D658F" w:rsidRPr="00645F71" w:rsidRDefault="004D658F" w:rsidP="004D658F">
      <w:pPr>
        <w:spacing w:after="0" w:line="360" w:lineRule="auto"/>
        <w:rPr>
          <w:rFonts w:ascii="Times New Roman" w:hAnsi="Times New Roman" w:cs="Times New Roman"/>
          <w:sz w:val="28"/>
          <w:szCs w:val="28"/>
          <w:lang w:val="uk-UA"/>
        </w:rPr>
      </w:pPr>
    </w:p>
    <w:p w14:paraId="605A9D78"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 xml:space="preserve">Інструкція для використання. </w:t>
      </w:r>
      <w:r w:rsidRPr="00645F71">
        <w:rPr>
          <w:rFonts w:ascii="Times New Roman" w:hAnsi="Times New Roman" w:cs="Times New Roman"/>
          <w:sz w:val="28"/>
          <w:szCs w:val="28"/>
          <w:lang w:val="uk-UA"/>
        </w:rPr>
        <w:t>Таблиця призначена для узагальнення результатів діагностики географічних компетентностей учнів за чотирма критеріями: мотиваційним, когнітивним, діяльнісним і рефлексивним.</w:t>
      </w:r>
    </w:p>
    <w:p w14:paraId="0F57DCD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Кожен критерій оцінюється за шкалою 0–12 балів (4 показники × 0–3 бали).</w:t>
      </w:r>
    </w:p>
    <w:p w14:paraId="38C0BCB6"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Максимальна загальна сума </w:t>
      </w:r>
      <w:r>
        <w:rPr>
          <w:rFonts w:ascii="Times New Roman" w:hAnsi="Times New Roman" w:cs="Times New Roman"/>
          <w:sz w:val="28"/>
          <w:szCs w:val="28"/>
          <w:lang w:val="uk-UA"/>
        </w:rPr>
        <w:t>–</w:t>
      </w:r>
      <w:r w:rsidRPr="00645F71">
        <w:rPr>
          <w:rFonts w:ascii="Times New Roman" w:hAnsi="Times New Roman" w:cs="Times New Roman"/>
          <w:sz w:val="28"/>
          <w:szCs w:val="28"/>
          <w:lang w:val="uk-UA"/>
        </w:rPr>
        <w:t xml:space="preserve"> 48 балів.</w:t>
      </w:r>
    </w:p>
    <w:p w14:paraId="55147552" w14:textId="77777777" w:rsidR="004D658F" w:rsidRPr="00645F71" w:rsidRDefault="004D658F" w:rsidP="004D658F">
      <w:pPr>
        <w:spacing w:after="0" w:line="360" w:lineRule="auto"/>
        <w:jc w:val="center"/>
        <w:rPr>
          <w:rFonts w:ascii="Times New Roman" w:hAnsi="Times New Roman" w:cs="Times New Roman"/>
          <w:sz w:val="28"/>
          <w:szCs w:val="28"/>
          <w:lang w:val="uk-UA"/>
        </w:rPr>
      </w:pPr>
    </w:p>
    <w:p w14:paraId="0CE5B783" w14:textId="77777777" w:rsidR="004D658F" w:rsidRPr="00645F71" w:rsidRDefault="004D658F" w:rsidP="004D658F">
      <w:pPr>
        <w:spacing w:after="0" w:line="360" w:lineRule="auto"/>
        <w:jc w:val="center"/>
        <w:rPr>
          <w:rFonts w:ascii="Times New Roman" w:hAnsi="Times New Roman" w:cs="Times New Roman"/>
          <w:sz w:val="28"/>
          <w:szCs w:val="28"/>
          <w:lang w:val="uk-UA"/>
        </w:rPr>
      </w:pPr>
      <w:r w:rsidRPr="00645F71">
        <w:rPr>
          <w:rFonts w:ascii="Times New Roman" w:hAnsi="Times New Roman" w:cs="Times New Roman"/>
          <w:sz w:val="28"/>
          <w:szCs w:val="28"/>
          <w:lang w:val="uk-UA"/>
        </w:rPr>
        <w:t>Таблиця оцінювання</w:t>
      </w:r>
    </w:p>
    <w:tbl>
      <w:tblPr>
        <w:tblStyle w:val="a8"/>
        <w:tblW w:w="0" w:type="auto"/>
        <w:tblLook w:val="04A0" w:firstRow="1" w:lastRow="0" w:firstColumn="1" w:lastColumn="0" w:noHBand="0" w:noVBand="1"/>
      </w:tblPr>
      <w:tblGrid>
        <w:gridCol w:w="421"/>
        <w:gridCol w:w="1397"/>
        <w:gridCol w:w="1424"/>
        <w:gridCol w:w="1273"/>
        <w:gridCol w:w="1229"/>
        <w:gridCol w:w="1407"/>
        <w:gridCol w:w="1055"/>
        <w:gridCol w:w="1423"/>
      </w:tblGrid>
      <w:tr w:rsidR="004D658F" w:rsidRPr="00645F71" w14:paraId="68354FE1" w14:textId="77777777" w:rsidTr="0046298E">
        <w:tc>
          <w:tcPr>
            <w:tcW w:w="421" w:type="dxa"/>
            <w:vAlign w:val="center"/>
          </w:tcPr>
          <w:p w14:paraId="63BDE591"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w:t>
            </w:r>
          </w:p>
        </w:tc>
        <w:tc>
          <w:tcPr>
            <w:tcW w:w="1397" w:type="dxa"/>
            <w:vAlign w:val="center"/>
          </w:tcPr>
          <w:p w14:paraId="071CE8BC"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Прізвище, ім’я учня</w:t>
            </w:r>
          </w:p>
        </w:tc>
        <w:tc>
          <w:tcPr>
            <w:tcW w:w="1424" w:type="dxa"/>
            <w:vAlign w:val="center"/>
          </w:tcPr>
          <w:p w14:paraId="7B192DD7"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Мотиваційний критерій (0–12)</w:t>
            </w:r>
          </w:p>
        </w:tc>
        <w:tc>
          <w:tcPr>
            <w:tcW w:w="1273" w:type="dxa"/>
            <w:vAlign w:val="center"/>
          </w:tcPr>
          <w:p w14:paraId="10007E21"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Когнітивний критерій (0–12)</w:t>
            </w:r>
          </w:p>
        </w:tc>
        <w:tc>
          <w:tcPr>
            <w:tcW w:w="1229" w:type="dxa"/>
            <w:vAlign w:val="center"/>
          </w:tcPr>
          <w:p w14:paraId="7DF3768D"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Діяльнісний критерій (0–12)</w:t>
            </w:r>
          </w:p>
        </w:tc>
        <w:tc>
          <w:tcPr>
            <w:tcW w:w="1407" w:type="dxa"/>
            <w:vAlign w:val="center"/>
          </w:tcPr>
          <w:p w14:paraId="0017F2C4"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Рефлексивний критерій (0–12)</w:t>
            </w:r>
          </w:p>
        </w:tc>
        <w:tc>
          <w:tcPr>
            <w:tcW w:w="1055" w:type="dxa"/>
            <w:vAlign w:val="center"/>
          </w:tcPr>
          <w:p w14:paraId="31C90047"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Загальна сума (0–48)</w:t>
            </w:r>
          </w:p>
        </w:tc>
        <w:tc>
          <w:tcPr>
            <w:tcW w:w="1423" w:type="dxa"/>
            <w:vAlign w:val="center"/>
          </w:tcPr>
          <w:p w14:paraId="071C6AAE" w14:textId="77777777" w:rsidR="004D658F" w:rsidRPr="00645F71" w:rsidRDefault="004D658F" w:rsidP="0046298E">
            <w:pPr>
              <w:jc w:val="center"/>
              <w:rPr>
                <w:rFonts w:ascii="Times New Roman" w:hAnsi="Times New Roman" w:cs="Times New Roman"/>
                <w:sz w:val="18"/>
                <w:szCs w:val="18"/>
                <w:lang w:val="uk-UA"/>
              </w:rPr>
            </w:pPr>
            <w:r w:rsidRPr="00645F71">
              <w:rPr>
                <w:rFonts w:ascii="Times New Roman" w:hAnsi="Times New Roman" w:cs="Times New Roman"/>
                <w:b/>
                <w:bCs/>
                <w:sz w:val="18"/>
                <w:szCs w:val="18"/>
                <w:lang w:val="uk-UA"/>
              </w:rPr>
              <w:t>Рівень сформованості</w:t>
            </w:r>
          </w:p>
        </w:tc>
      </w:tr>
      <w:tr w:rsidR="004D658F" w:rsidRPr="00645F71" w14:paraId="79480040" w14:textId="77777777" w:rsidTr="0046298E">
        <w:tc>
          <w:tcPr>
            <w:tcW w:w="421" w:type="dxa"/>
            <w:vAlign w:val="center"/>
          </w:tcPr>
          <w:p w14:paraId="60464D31"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1</w:t>
            </w:r>
          </w:p>
        </w:tc>
        <w:tc>
          <w:tcPr>
            <w:tcW w:w="1397" w:type="dxa"/>
            <w:vAlign w:val="center"/>
          </w:tcPr>
          <w:p w14:paraId="040C4492"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65AF3A80"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0E6439D0"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360A96F6"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4F4E3043"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059E4C77"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24E827B5" w14:textId="77777777" w:rsidR="004D658F" w:rsidRPr="00645F71" w:rsidRDefault="004D658F" w:rsidP="0046298E">
            <w:pPr>
              <w:rPr>
                <w:rFonts w:ascii="Times New Roman" w:hAnsi="Times New Roman" w:cs="Times New Roman"/>
                <w:sz w:val="18"/>
                <w:szCs w:val="18"/>
                <w:lang w:val="uk-UA"/>
              </w:rPr>
            </w:pPr>
          </w:p>
        </w:tc>
      </w:tr>
      <w:tr w:rsidR="004D658F" w:rsidRPr="00645F71" w14:paraId="62862722" w14:textId="77777777" w:rsidTr="0046298E">
        <w:tc>
          <w:tcPr>
            <w:tcW w:w="421" w:type="dxa"/>
            <w:vAlign w:val="center"/>
          </w:tcPr>
          <w:p w14:paraId="5A3E8B9D"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2</w:t>
            </w:r>
          </w:p>
        </w:tc>
        <w:tc>
          <w:tcPr>
            <w:tcW w:w="1397" w:type="dxa"/>
            <w:vAlign w:val="center"/>
          </w:tcPr>
          <w:p w14:paraId="2C7EE353"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1AE3A01A"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2981BAB9"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70E5044D"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1CE2E78D"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47D9BD27"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073A4C1A" w14:textId="77777777" w:rsidR="004D658F" w:rsidRPr="00645F71" w:rsidRDefault="004D658F" w:rsidP="0046298E">
            <w:pPr>
              <w:rPr>
                <w:rFonts w:ascii="Times New Roman" w:hAnsi="Times New Roman" w:cs="Times New Roman"/>
                <w:sz w:val="18"/>
                <w:szCs w:val="18"/>
                <w:lang w:val="uk-UA"/>
              </w:rPr>
            </w:pPr>
          </w:p>
        </w:tc>
      </w:tr>
      <w:tr w:rsidR="004D658F" w:rsidRPr="00645F71" w14:paraId="2E71C5C5" w14:textId="77777777" w:rsidTr="0046298E">
        <w:tc>
          <w:tcPr>
            <w:tcW w:w="421" w:type="dxa"/>
            <w:vAlign w:val="center"/>
          </w:tcPr>
          <w:p w14:paraId="4F982B34"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3</w:t>
            </w:r>
          </w:p>
        </w:tc>
        <w:tc>
          <w:tcPr>
            <w:tcW w:w="1397" w:type="dxa"/>
            <w:vAlign w:val="center"/>
          </w:tcPr>
          <w:p w14:paraId="1BBE3A4B"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6BCEFEE6"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7F15AB79"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7D602CC7"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6DA2B6D1"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164C58C1"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09F59C17" w14:textId="77777777" w:rsidR="004D658F" w:rsidRPr="00645F71" w:rsidRDefault="004D658F" w:rsidP="0046298E">
            <w:pPr>
              <w:rPr>
                <w:rFonts w:ascii="Times New Roman" w:hAnsi="Times New Roman" w:cs="Times New Roman"/>
                <w:sz w:val="18"/>
                <w:szCs w:val="18"/>
                <w:lang w:val="uk-UA"/>
              </w:rPr>
            </w:pPr>
          </w:p>
        </w:tc>
      </w:tr>
      <w:tr w:rsidR="004D658F" w:rsidRPr="00645F71" w14:paraId="33F3A924" w14:textId="77777777" w:rsidTr="0046298E">
        <w:tc>
          <w:tcPr>
            <w:tcW w:w="421" w:type="dxa"/>
            <w:vAlign w:val="center"/>
          </w:tcPr>
          <w:p w14:paraId="5DBCDEDF"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4</w:t>
            </w:r>
          </w:p>
        </w:tc>
        <w:tc>
          <w:tcPr>
            <w:tcW w:w="1397" w:type="dxa"/>
            <w:vAlign w:val="center"/>
          </w:tcPr>
          <w:p w14:paraId="31BEF5B7"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05E54C1E"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48A5DE2F"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1E498F43"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0709BD2F"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1BAB5E43"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184BEDEF" w14:textId="77777777" w:rsidR="004D658F" w:rsidRPr="00645F71" w:rsidRDefault="004D658F" w:rsidP="0046298E">
            <w:pPr>
              <w:rPr>
                <w:rFonts w:ascii="Times New Roman" w:hAnsi="Times New Roman" w:cs="Times New Roman"/>
                <w:sz w:val="18"/>
                <w:szCs w:val="18"/>
                <w:lang w:val="uk-UA"/>
              </w:rPr>
            </w:pPr>
          </w:p>
        </w:tc>
      </w:tr>
      <w:tr w:rsidR="004D658F" w:rsidRPr="00645F71" w14:paraId="3ACFE5C2" w14:textId="77777777" w:rsidTr="0046298E">
        <w:tc>
          <w:tcPr>
            <w:tcW w:w="421" w:type="dxa"/>
            <w:vAlign w:val="center"/>
          </w:tcPr>
          <w:p w14:paraId="25AC9037"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5</w:t>
            </w:r>
          </w:p>
        </w:tc>
        <w:tc>
          <w:tcPr>
            <w:tcW w:w="1397" w:type="dxa"/>
            <w:vAlign w:val="center"/>
          </w:tcPr>
          <w:p w14:paraId="6825420E"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7863F623"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2DE6A1DD"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03DC6C96"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3A3E6D0A"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07E9FB78"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3660CE1C" w14:textId="77777777" w:rsidR="004D658F" w:rsidRPr="00645F71" w:rsidRDefault="004D658F" w:rsidP="0046298E">
            <w:pPr>
              <w:rPr>
                <w:rFonts w:ascii="Times New Roman" w:hAnsi="Times New Roman" w:cs="Times New Roman"/>
                <w:sz w:val="18"/>
                <w:szCs w:val="18"/>
                <w:lang w:val="uk-UA"/>
              </w:rPr>
            </w:pPr>
          </w:p>
        </w:tc>
      </w:tr>
      <w:tr w:rsidR="004D658F" w:rsidRPr="00645F71" w14:paraId="3EC13F48" w14:textId="77777777" w:rsidTr="0046298E">
        <w:tc>
          <w:tcPr>
            <w:tcW w:w="421" w:type="dxa"/>
            <w:vAlign w:val="center"/>
          </w:tcPr>
          <w:p w14:paraId="54AE184B"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6</w:t>
            </w:r>
          </w:p>
        </w:tc>
        <w:tc>
          <w:tcPr>
            <w:tcW w:w="1397" w:type="dxa"/>
            <w:vAlign w:val="center"/>
          </w:tcPr>
          <w:p w14:paraId="35E6E6C3"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762FA7CB"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1D451899"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7ECD772D"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2B61F222"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6792D4B2"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06F6A269" w14:textId="77777777" w:rsidR="004D658F" w:rsidRPr="00645F71" w:rsidRDefault="004D658F" w:rsidP="0046298E">
            <w:pPr>
              <w:rPr>
                <w:rFonts w:ascii="Times New Roman" w:hAnsi="Times New Roman" w:cs="Times New Roman"/>
                <w:sz w:val="18"/>
                <w:szCs w:val="18"/>
                <w:lang w:val="uk-UA"/>
              </w:rPr>
            </w:pPr>
          </w:p>
        </w:tc>
      </w:tr>
      <w:tr w:rsidR="004D658F" w:rsidRPr="00645F71" w14:paraId="13BB9D48" w14:textId="77777777" w:rsidTr="0046298E">
        <w:tc>
          <w:tcPr>
            <w:tcW w:w="421" w:type="dxa"/>
            <w:vAlign w:val="center"/>
          </w:tcPr>
          <w:p w14:paraId="16A57C49"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7</w:t>
            </w:r>
          </w:p>
        </w:tc>
        <w:tc>
          <w:tcPr>
            <w:tcW w:w="1397" w:type="dxa"/>
            <w:vAlign w:val="center"/>
          </w:tcPr>
          <w:p w14:paraId="659DA8CD"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6C61A7B9"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796C4995"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4A4FD031"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72F2B367"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63D95AD2"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247E136A" w14:textId="77777777" w:rsidR="004D658F" w:rsidRPr="00645F71" w:rsidRDefault="004D658F" w:rsidP="0046298E">
            <w:pPr>
              <w:rPr>
                <w:rFonts w:ascii="Times New Roman" w:hAnsi="Times New Roman" w:cs="Times New Roman"/>
                <w:sz w:val="18"/>
                <w:szCs w:val="18"/>
                <w:lang w:val="uk-UA"/>
              </w:rPr>
            </w:pPr>
          </w:p>
        </w:tc>
      </w:tr>
      <w:tr w:rsidR="004D658F" w:rsidRPr="00645F71" w14:paraId="39C13CA0" w14:textId="77777777" w:rsidTr="0046298E">
        <w:tc>
          <w:tcPr>
            <w:tcW w:w="421" w:type="dxa"/>
            <w:vAlign w:val="center"/>
          </w:tcPr>
          <w:p w14:paraId="1F8D897B"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8</w:t>
            </w:r>
          </w:p>
        </w:tc>
        <w:tc>
          <w:tcPr>
            <w:tcW w:w="1397" w:type="dxa"/>
            <w:vAlign w:val="center"/>
          </w:tcPr>
          <w:p w14:paraId="13E0019D"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13AA93EB"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11F95479"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252A5EFB"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658A7F6D"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0D4753F0"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046BE1C7" w14:textId="77777777" w:rsidR="004D658F" w:rsidRPr="00645F71" w:rsidRDefault="004D658F" w:rsidP="0046298E">
            <w:pPr>
              <w:rPr>
                <w:rFonts w:ascii="Times New Roman" w:hAnsi="Times New Roman" w:cs="Times New Roman"/>
                <w:sz w:val="18"/>
                <w:szCs w:val="18"/>
                <w:lang w:val="uk-UA"/>
              </w:rPr>
            </w:pPr>
          </w:p>
        </w:tc>
      </w:tr>
      <w:tr w:rsidR="004D658F" w:rsidRPr="00645F71" w14:paraId="6236D1C6" w14:textId="77777777" w:rsidTr="0046298E">
        <w:tc>
          <w:tcPr>
            <w:tcW w:w="421" w:type="dxa"/>
            <w:vAlign w:val="center"/>
          </w:tcPr>
          <w:p w14:paraId="453F9BD8"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9</w:t>
            </w:r>
          </w:p>
        </w:tc>
        <w:tc>
          <w:tcPr>
            <w:tcW w:w="1397" w:type="dxa"/>
            <w:vAlign w:val="center"/>
          </w:tcPr>
          <w:p w14:paraId="344A7F84"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290AC0D3"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1C941846"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7874030D"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15A610D2"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1EE00EF3"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14AA3EC5" w14:textId="77777777" w:rsidR="004D658F" w:rsidRPr="00645F71" w:rsidRDefault="004D658F" w:rsidP="0046298E">
            <w:pPr>
              <w:rPr>
                <w:rFonts w:ascii="Times New Roman" w:hAnsi="Times New Roman" w:cs="Times New Roman"/>
                <w:sz w:val="18"/>
                <w:szCs w:val="18"/>
                <w:lang w:val="uk-UA"/>
              </w:rPr>
            </w:pPr>
          </w:p>
        </w:tc>
      </w:tr>
      <w:tr w:rsidR="004D658F" w:rsidRPr="00645F71" w14:paraId="14BE73ED" w14:textId="77777777" w:rsidTr="0046298E">
        <w:tc>
          <w:tcPr>
            <w:tcW w:w="421" w:type="dxa"/>
            <w:vAlign w:val="center"/>
          </w:tcPr>
          <w:p w14:paraId="6C1A7A56" w14:textId="77777777" w:rsidR="004D658F" w:rsidRPr="00645F71" w:rsidRDefault="004D658F" w:rsidP="0046298E">
            <w:pPr>
              <w:rPr>
                <w:rFonts w:ascii="Times New Roman" w:hAnsi="Times New Roman" w:cs="Times New Roman"/>
                <w:sz w:val="18"/>
                <w:szCs w:val="18"/>
                <w:lang w:val="uk-UA"/>
              </w:rPr>
            </w:pPr>
            <w:r w:rsidRPr="00645F71">
              <w:rPr>
                <w:rFonts w:ascii="Times New Roman" w:hAnsi="Times New Roman" w:cs="Times New Roman"/>
                <w:sz w:val="18"/>
                <w:szCs w:val="18"/>
                <w:lang w:val="uk-UA"/>
              </w:rPr>
              <w:t>10</w:t>
            </w:r>
          </w:p>
        </w:tc>
        <w:tc>
          <w:tcPr>
            <w:tcW w:w="1397" w:type="dxa"/>
            <w:vAlign w:val="center"/>
          </w:tcPr>
          <w:p w14:paraId="4ED4142D" w14:textId="77777777" w:rsidR="004D658F" w:rsidRPr="00645F71" w:rsidRDefault="004D658F" w:rsidP="0046298E">
            <w:pPr>
              <w:rPr>
                <w:rFonts w:ascii="Times New Roman" w:hAnsi="Times New Roman" w:cs="Times New Roman"/>
                <w:sz w:val="18"/>
                <w:szCs w:val="18"/>
                <w:lang w:val="uk-UA"/>
              </w:rPr>
            </w:pPr>
          </w:p>
        </w:tc>
        <w:tc>
          <w:tcPr>
            <w:tcW w:w="1424" w:type="dxa"/>
            <w:vAlign w:val="center"/>
          </w:tcPr>
          <w:p w14:paraId="3916E195" w14:textId="77777777" w:rsidR="004D658F" w:rsidRPr="00645F71" w:rsidRDefault="004D658F" w:rsidP="0046298E">
            <w:pPr>
              <w:rPr>
                <w:rFonts w:ascii="Times New Roman" w:hAnsi="Times New Roman" w:cs="Times New Roman"/>
                <w:sz w:val="18"/>
                <w:szCs w:val="18"/>
                <w:lang w:val="uk-UA"/>
              </w:rPr>
            </w:pPr>
          </w:p>
        </w:tc>
        <w:tc>
          <w:tcPr>
            <w:tcW w:w="1273" w:type="dxa"/>
            <w:vAlign w:val="center"/>
          </w:tcPr>
          <w:p w14:paraId="3DD8E5CC" w14:textId="77777777" w:rsidR="004D658F" w:rsidRPr="00645F71" w:rsidRDefault="004D658F" w:rsidP="0046298E">
            <w:pPr>
              <w:rPr>
                <w:rFonts w:ascii="Times New Roman" w:hAnsi="Times New Roman" w:cs="Times New Roman"/>
                <w:sz w:val="18"/>
                <w:szCs w:val="18"/>
                <w:lang w:val="uk-UA"/>
              </w:rPr>
            </w:pPr>
          </w:p>
        </w:tc>
        <w:tc>
          <w:tcPr>
            <w:tcW w:w="1229" w:type="dxa"/>
            <w:vAlign w:val="center"/>
          </w:tcPr>
          <w:p w14:paraId="44F4A6B0" w14:textId="77777777" w:rsidR="004D658F" w:rsidRPr="00645F71" w:rsidRDefault="004D658F" w:rsidP="0046298E">
            <w:pPr>
              <w:rPr>
                <w:rFonts w:ascii="Times New Roman" w:hAnsi="Times New Roman" w:cs="Times New Roman"/>
                <w:sz w:val="18"/>
                <w:szCs w:val="18"/>
                <w:lang w:val="uk-UA"/>
              </w:rPr>
            </w:pPr>
          </w:p>
        </w:tc>
        <w:tc>
          <w:tcPr>
            <w:tcW w:w="1407" w:type="dxa"/>
            <w:vAlign w:val="center"/>
          </w:tcPr>
          <w:p w14:paraId="78AB9722" w14:textId="77777777" w:rsidR="004D658F" w:rsidRPr="00645F71" w:rsidRDefault="004D658F" w:rsidP="0046298E">
            <w:pPr>
              <w:rPr>
                <w:rFonts w:ascii="Times New Roman" w:hAnsi="Times New Roman" w:cs="Times New Roman"/>
                <w:sz w:val="18"/>
                <w:szCs w:val="18"/>
                <w:lang w:val="uk-UA"/>
              </w:rPr>
            </w:pPr>
          </w:p>
        </w:tc>
        <w:tc>
          <w:tcPr>
            <w:tcW w:w="1055" w:type="dxa"/>
            <w:vAlign w:val="center"/>
          </w:tcPr>
          <w:p w14:paraId="69D1F473" w14:textId="77777777" w:rsidR="004D658F" w:rsidRPr="00645F71" w:rsidRDefault="004D658F" w:rsidP="0046298E">
            <w:pPr>
              <w:rPr>
                <w:rFonts w:ascii="Times New Roman" w:hAnsi="Times New Roman" w:cs="Times New Roman"/>
                <w:sz w:val="18"/>
                <w:szCs w:val="18"/>
                <w:lang w:val="uk-UA"/>
              </w:rPr>
            </w:pPr>
          </w:p>
        </w:tc>
        <w:tc>
          <w:tcPr>
            <w:tcW w:w="1423" w:type="dxa"/>
            <w:vAlign w:val="center"/>
          </w:tcPr>
          <w:p w14:paraId="369BDEC8" w14:textId="77777777" w:rsidR="004D658F" w:rsidRPr="00645F71" w:rsidRDefault="004D658F" w:rsidP="0046298E">
            <w:pPr>
              <w:rPr>
                <w:rFonts w:ascii="Times New Roman" w:hAnsi="Times New Roman" w:cs="Times New Roman"/>
                <w:sz w:val="18"/>
                <w:szCs w:val="18"/>
                <w:lang w:val="uk-UA"/>
              </w:rPr>
            </w:pPr>
          </w:p>
        </w:tc>
      </w:tr>
    </w:tbl>
    <w:p w14:paraId="697219B2" w14:textId="77777777" w:rsidR="004D658F" w:rsidRDefault="004D658F" w:rsidP="004D658F">
      <w:pPr>
        <w:spacing w:after="0" w:line="360" w:lineRule="auto"/>
        <w:rPr>
          <w:rFonts w:ascii="Times New Roman" w:hAnsi="Times New Roman" w:cs="Times New Roman"/>
          <w:sz w:val="28"/>
          <w:szCs w:val="28"/>
          <w:lang w:val="uk-UA"/>
        </w:rPr>
      </w:pPr>
    </w:p>
    <w:p w14:paraId="5950B042"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Шкала визначення рівнів</w:t>
      </w:r>
    </w:p>
    <w:p w14:paraId="0786B1B7"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37–48 балів </w:t>
      </w:r>
      <w:r>
        <w:rPr>
          <w:rFonts w:ascii="Times New Roman" w:hAnsi="Times New Roman" w:cs="Times New Roman"/>
          <w:sz w:val="28"/>
          <w:szCs w:val="28"/>
          <w:lang w:val="uk-UA"/>
        </w:rPr>
        <w:t>–</w:t>
      </w:r>
      <w:r w:rsidRPr="00645F71">
        <w:rPr>
          <w:rFonts w:ascii="Times New Roman" w:hAnsi="Times New Roman" w:cs="Times New Roman"/>
          <w:sz w:val="28"/>
          <w:szCs w:val="28"/>
          <w:lang w:val="uk-UA"/>
        </w:rPr>
        <w:t xml:space="preserve"> високий рівень</w:t>
      </w:r>
    </w:p>
    <w:p w14:paraId="555C75DF"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25–36 балів </w:t>
      </w:r>
      <w:r>
        <w:rPr>
          <w:rFonts w:ascii="Times New Roman" w:hAnsi="Times New Roman" w:cs="Times New Roman"/>
          <w:sz w:val="28"/>
          <w:szCs w:val="28"/>
          <w:lang w:val="uk-UA"/>
        </w:rPr>
        <w:t>–</w:t>
      </w:r>
      <w:r w:rsidRPr="00645F71">
        <w:rPr>
          <w:rFonts w:ascii="Times New Roman" w:hAnsi="Times New Roman" w:cs="Times New Roman"/>
          <w:sz w:val="28"/>
          <w:szCs w:val="28"/>
          <w:lang w:val="uk-UA"/>
        </w:rPr>
        <w:t xml:space="preserve"> достатній рівень</w:t>
      </w:r>
    </w:p>
    <w:p w14:paraId="5722D549"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13–24 бали </w:t>
      </w:r>
      <w:r>
        <w:rPr>
          <w:rFonts w:ascii="Times New Roman" w:hAnsi="Times New Roman" w:cs="Times New Roman"/>
          <w:sz w:val="28"/>
          <w:szCs w:val="28"/>
          <w:lang w:val="uk-UA"/>
        </w:rPr>
        <w:t>–</w:t>
      </w:r>
      <w:r w:rsidRPr="00645F71">
        <w:rPr>
          <w:rFonts w:ascii="Times New Roman" w:hAnsi="Times New Roman" w:cs="Times New Roman"/>
          <w:sz w:val="28"/>
          <w:szCs w:val="28"/>
          <w:lang w:val="uk-UA"/>
        </w:rPr>
        <w:t xml:space="preserve"> середній рівень</w:t>
      </w:r>
    </w:p>
    <w:p w14:paraId="6E5D3339"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 xml:space="preserve">0–12 балів </w:t>
      </w:r>
      <w:r>
        <w:rPr>
          <w:rFonts w:ascii="Times New Roman" w:hAnsi="Times New Roman" w:cs="Times New Roman"/>
          <w:sz w:val="28"/>
          <w:szCs w:val="28"/>
          <w:lang w:val="uk-UA"/>
        </w:rPr>
        <w:t>–</w:t>
      </w:r>
      <w:r w:rsidRPr="00645F71">
        <w:rPr>
          <w:rFonts w:ascii="Times New Roman" w:hAnsi="Times New Roman" w:cs="Times New Roman"/>
          <w:sz w:val="28"/>
          <w:szCs w:val="28"/>
          <w:lang w:val="uk-UA"/>
        </w:rPr>
        <w:t xml:space="preserve"> початковий рівень</w:t>
      </w:r>
    </w:p>
    <w:p w14:paraId="08830C85" w14:textId="77777777" w:rsidR="004D658F" w:rsidRDefault="004D658F" w:rsidP="004D658F">
      <w:pPr>
        <w:spacing w:after="0" w:line="360" w:lineRule="auto"/>
        <w:ind w:firstLine="709"/>
        <w:jc w:val="both"/>
        <w:rPr>
          <w:rFonts w:ascii="Times New Roman" w:hAnsi="Times New Roman" w:cs="Times New Roman"/>
          <w:b/>
          <w:bCs/>
          <w:sz w:val="28"/>
          <w:szCs w:val="28"/>
          <w:lang w:val="uk-UA"/>
        </w:rPr>
      </w:pPr>
    </w:p>
    <w:p w14:paraId="2683F2B4"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Формула підрахунку</w:t>
      </w:r>
    </w:p>
    <w:p w14:paraId="2F02B98F" w14:textId="77777777" w:rsidR="004D658F" w:rsidRPr="00645F71" w:rsidRDefault="004D658F" w:rsidP="004D658F">
      <w:pPr>
        <w:spacing w:after="0" w:line="360" w:lineRule="auto"/>
        <w:jc w:val="center"/>
        <w:rPr>
          <w:rFonts w:ascii="Times New Roman" w:hAnsi="Times New Roman" w:cs="Times New Roman"/>
          <w:sz w:val="28"/>
          <w:szCs w:val="28"/>
          <w:lang w:val="uk-UA"/>
        </w:rPr>
      </w:pPr>
      <w:r w:rsidRPr="00645F71">
        <w:rPr>
          <w:rFonts w:ascii="Times New Roman" w:hAnsi="Times New Roman" w:cs="Times New Roman"/>
          <w:sz w:val="28"/>
          <w:szCs w:val="28"/>
          <w:lang w:val="uk-UA"/>
        </w:rPr>
        <w:t>Загальна сума =</w:t>
      </w:r>
      <w:r>
        <w:rPr>
          <w:rFonts w:ascii="Times New Roman" w:hAnsi="Times New Roman" w:cs="Times New Roman"/>
          <w:sz w:val="28"/>
          <w:szCs w:val="28"/>
          <w:lang w:val="uk-UA"/>
        </w:rPr>
        <w:t xml:space="preserve"> </w:t>
      </w:r>
      <w:r w:rsidRPr="00645F71">
        <w:rPr>
          <w:rFonts w:ascii="Times New Roman" w:hAnsi="Times New Roman" w:cs="Times New Roman"/>
          <w:sz w:val="28"/>
          <w:szCs w:val="28"/>
          <w:lang w:val="uk-UA"/>
        </w:rPr>
        <w:t>Мотиваційний + Когнітивний + Діяльнісний + Рефлексивний</w:t>
      </w:r>
    </w:p>
    <w:p w14:paraId="16957872" w14:textId="77777777" w:rsidR="004D658F" w:rsidRDefault="004D658F" w:rsidP="004D658F">
      <w:pPr>
        <w:spacing w:after="0" w:line="360" w:lineRule="auto"/>
        <w:ind w:firstLine="709"/>
        <w:jc w:val="both"/>
        <w:rPr>
          <w:rFonts w:ascii="Times New Roman" w:hAnsi="Times New Roman" w:cs="Times New Roman"/>
          <w:b/>
          <w:bCs/>
          <w:sz w:val="28"/>
          <w:szCs w:val="28"/>
          <w:lang w:val="uk-UA"/>
        </w:rPr>
      </w:pPr>
    </w:p>
    <w:p w14:paraId="7F3A6A8D" w14:textId="77777777" w:rsidR="004D658F" w:rsidRPr="00645F71" w:rsidRDefault="004D658F" w:rsidP="004D658F">
      <w:pPr>
        <w:spacing w:after="0" w:line="360" w:lineRule="auto"/>
        <w:ind w:firstLine="709"/>
        <w:jc w:val="both"/>
        <w:rPr>
          <w:rFonts w:ascii="Times New Roman" w:hAnsi="Times New Roman" w:cs="Times New Roman"/>
          <w:b/>
          <w:bCs/>
          <w:sz w:val="28"/>
          <w:szCs w:val="28"/>
          <w:lang w:val="uk-UA"/>
        </w:rPr>
      </w:pPr>
      <w:r w:rsidRPr="00645F71">
        <w:rPr>
          <w:rFonts w:ascii="Times New Roman" w:hAnsi="Times New Roman" w:cs="Times New Roman"/>
          <w:b/>
          <w:bCs/>
          <w:sz w:val="28"/>
          <w:szCs w:val="28"/>
          <w:lang w:val="uk-UA"/>
        </w:rPr>
        <w:t>Примітки для вчителя</w:t>
      </w:r>
    </w:p>
    <w:p w14:paraId="7F16ABD0"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Оцінювання здійснюється на основі:</w:t>
      </w:r>
    </w:p>
    <w:p w14:paraId="23CA4FDD"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Segoe UI Emoji" w:hAnsi="Segoe UI Emoji" w:cs="Segoe UI Emoji"/>
          <w:sz w:val="28"/>
          <w:szCs w:val="28"/>
          <w:lang w:val="uk-UA"/>
        </w:rPr>
        <w:lastRenderedPageBreak/>
        <w:t>✔</w:t>
      </w:r>
      <w:r w:rsidRPr="00645F71">
        <w:rPr>
          <w:rFonts w:ascii="Times New Roman" w:hAnsi="Times New Roman" w:cs="Times New Roman"/>
          <w:sz w:val="28"/>
          <w:szCs w:val="28"/>
          <w:lang w:val="uk-UA"/>
        </w:rPr>
        <w:t xml:space="preserve"> анкети (мотивація)</w:t>
      </w:r>
    </w:p>
    <w:p w14:paraId="23668A28"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Segoe UI Emoji" w:hAnsi="Segoe UI Emoji" w:cs="Segoe UI Emoji"/>
          <w:sz w:val="28"/>
          <w:szCs w:val="28"/>
          <w:lang w:val="uk-UA"/>
        </w:rPr>
        <w:t>✔</w:t>
      </w:r>
      <w:r w:rsidRPr="00645F71">
        <w:rPr>
          <w:rFonts w:ascii="Times New Roman" w:hAnsi="Times New Roman" w:cs="Times New Roman"/>
          <w:sz w:val="28"/>
          <w:szCs w:val="28"/>
          <w:lang w:val="uk-UA"/>
        </w:rPr>
        <w:t xml:space="preserve"> діагностичних завдань (когнітивний + діяльнісний)</w:t>
      </w:r>
    </w:p>
    <w:p w14:paraId="2FCEF534"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Segoe UI Emoji" w:hAnsi="Segoe UI Emoji" w:cs="Segoe UI Emoji"/>
          <w:sz w:val="28"/>
          <w:szCs w:val="28"/>
          <w:lang w:val="uk-UA"/>
        </w:rPr>
        <w:t>✔</w:t>
      </w:r>
      <w:r w:rsidRPr="00645F71">
        <w:rPr>
          <w:rFonts w:ascii="Times New Roman" w:hAnsi="Times New Roman" w:cs="Times New Roman"/>
          <w:sz w:val="28"/>
          <w:szCs w:val="28"/>
          <w:lang w:val="uk-UA"/>
        </w:rPr>
        <w:t xml:space="preserve"> спостереження (поведінка, активність)</w:t>
      </w:r>
    </w:p>
    <w:p w14:paraId="31A1891C"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Segoe UI Emoji" w:hAnsi="Segoe UI Emoji" w:cs="Segoe UI Emoji"/>
          <w:sz w:val="28"/>
          <w:szCs w:val="28"/>
          <w:lang w:val="uk-UA"/>
        </w:rPr>
        <w:t>✔</w:t>
      </w:r>
      <w:r w:rsidRPr="00645F71">
        <w:rPr>
          <w:rFonts w:ascii="Times New Roman" w:hAnsi="Times New Roman" w:cs="Times New Roman"/>
          <w:sz w:val="28"/>
          <w:szCs w:val="28"/>
          <w:lang w:val="uk-UA"/>
        </w:rPr>
        <w:t xml:space="preserve"> чек-листа (Додаток Г)</w:t>
      </w:r>
    </w:p>
    <w:p w14:paraId="1D15BA03" w14:textId="77777777" w:rsidR="004D658F" w:rsidRPr="00645F71" w:rsidRDefault="004D658F" w:rsidP="004D658F">
      <w:pPr>
        <w:spacing w:after="0" w:line="360" w:lineRule="auto"/>
        <w:ind w:firstLine="709"/>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Таблиця може використовуватися для:</w:t>
      </w:r>
    </w:p>
    <w:p w14:paraId="658DB976" w14:textId="77777777" w:rsidR="004D658F" w:rsidRDefault="004D658F" w:rsidP="004D658F">
      <w:pPr>
        <w:pStyle w:val="a7"/>
        <w:numPr>
          <w:ilvl w:val="0"/>
          <w:numId w:val="22"/>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індивідуального аналізу учня</w:t>
      </w:r>
    </w:p>
    <w:p w14:paraId="0910E2CD" w14:textId="77777777" w:rsidR="004D658F" w:rsidRDefault="004D658F" w:rsidP="004D658F">
      <w:pPr>
        <w:pStyle w:val="a7"/>
        <w:numPr>
          <w:ilvl w:val="0"/>
          <w:numId w:val="22"/>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порівняння результатів класу</w:t>
      </w:r>
    </w:p>
    <w:p w14:paraId="67D97A68" w14:textId="77777777" w:rsidR="004D658F" w:rsidRDefault="004D658F" w:rsidP="004D658F">
      <w:pPr>
        <w:pStyle w:val="a7"/>
        <w:numPr>
          <w:ilvl w:val="0"/>
          <w:numId w:val="22"/>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побудови діаграм і профілів компетентностей</w:t>
      </w:r>
    </w:p>
    <w:p w14:paraId="1D39E0DE" w14:textId="77777777" w:rsidR="004D658F" w:rsidRPr="00645F71" w:rsidRDefault="004D658F" w:rsidP="004D658F">
      <w:pPr>
        <w:pStyle w:val="a7"/>
        <w:numPr>
          <w:ilvl w:val="0"/>
          <w:numId w:val="22"/>
        </w:numPr>
        <w:spacing w:after="0" w:line="360" w:lineRule="auto"/>
        <w:jc w:val="both"/>
        <w:rPr>
          <w:rFonts w:ascii="Times New Roman" w:hAnsi="Times New Roman" w:cs="Times New Roman"/>
          <w:sz w:val="28"/>
          <w:szCs w:val="28"/>
          <w:lang w:val="uk-UA"/>
        </w:rPr>
      </w:pPr>
      <w:r w:rsidRPr="00645F71">
        <w:rPr>
          <w:rFonts w:ascii="Times New Roman" w:hAnsi="Times New Roman" w:cs="Times New Roman"/>
          <w:sz w:val="28"/>
          <w:szCs w:val="28"/>
          <w:lang w:val="uk-UA"/>
        </w:rPr>
        <w:t>відстеження динаміки розвитку</w:t>
      </w:r>
    </w:p>
    <w:p w14:paraId="64AD1C5C" w14:textId="77777777" w:rsidR="004D658F" w:rsidRPr="004D658F" w:rsidRDefault="004D658F" w:rsidP="004D658F">
      <w:pPr>
        <w:spacing w:after="0" w:line="360" w:lineRule="auto"/>
        <w:jc w:val="center"/>
        <w:rPr>
          <w:rFonts w:ascii="Times New Roman" w:hAnsi="Times New Roman" w:cs="Times New Roman"/>
          <w:sz w:val="28"/>
          <w:szCs w:val="28"/>
        </w:rPr>
      </w:pPr>
    </w:p>
    <w:sectPr w:rsidR="004D658F" w:rsidRPr="004D658F" w:rsidSect="003541FF">
      <w:footerReference w:type="default" r:id="rId108"/>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F7EAF" w14:textId="77777777" w:rsidR="0021731D" w:rsidRDefault="0021731D" w:rsidP="0047382A">
      <w:pPr>
        <w:spacing w:after="0" w:line="240" w:lineRule="auto"/>
      </w:pPr>
      <w:r>
        <w:separator/>
      </w:r>
    </w:p>
  </w:endnote>
  <w:endnote w:type="continuationSeparator" w:id="0">
    <w:p w14:paraId="363EC76D" w14:textId="77777777" w:rsidR="0021731D" w:rsidRDefault="0021731D" w:rsidP="0047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64828"/>
      <w:docPartObj>
        <w:docPartGallery w:val="Page Numbers (Bottom of Page)"/>
        <w:docPartUnique/>
      </w:docPartObj>
    </w:sdtPr>
    <w:sdtEndPr/>
    <w:sdtContent>
      <w:p w14:paraId="4234B86E" w14:textId="77777777" w:rsidR="0047382A" w:rsidRDefault="0047382A">
        <w:pPr>
          <w:pStyle w:val="a5"/>
          <w:jc w:val="right"/>
        </w:pPr>
        <w:r>
          <w:fldChar w:fldCharType="begin"/>
        </w:r>
        <w:r>
          <w:instrText>PAGE   \* MERGEFORMAT</w:instrText>
        </w:r>
        <w:r>
          <w:fldChar w:fldCharType="separate"/>
        </w:r>
        <w:r w:rsidR="002C5075">
          <w:rPr>
            <w:noProof/>
          </w:rPr>
          <w:t>1</w:t>
        </w:r>
        <w:r>
          <w:fldChar w:fldCharType="end"/>
        </w:r>
      </w:p>
    </w:sdtContent>
  </w:sdt>
  <w:p w14:paraId="7B94336B" w14:textId="77777777" w:rsidR="0047382A" w:rsidRDefault="004738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EDE06" w14:textId="77777777" w:rsidR="0021731D" w:rsidRDefault="0021731D" w:rsidP="0047382A">
      <w:pPr>
        <w:spacing w:after="0" w:line="240" w:lineRule="auto"/>
      </w:pPr>
      <w:r>
        <w:separator/>
      </w:r>
    </w:p>
  </w:footnote>
  <w:footnote w:type="continuationSeparator" w:id="0">
    <w:p w14:paraId="5692FEF9" w14:textId="77777777" w:rsidR="0021731D" w:rsidRDefault="0021731D" w:rsidP="00473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1D0E"/>
    <w:multiLevelType w:val="multilevel"/>
    <w:tmpl w:val="CFA0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21029"/>
    <w:multiLevelType w:val="hybridMultilevel"/>
    <w:tmpl w:val="4E9AE7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EF871F3"/>
    <w:multiLevelType w:val="multilevel"/>
    <w:tmpl w:val="868E8F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1034BB"/>
    <w:multiLevelType w:val="hybridMultilevel"/>
    <w:tmpl w:val="3C46A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12002B"/>
    <w:multiLevelType w:val="hybridMultilevel"/>
    <w:tmpl w:val="3294E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47C71D8"/>
    <w:multiLevelType w:val="multilevel"/>
    <w:tmpl w:val="5250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A158E"/>
    <w:multiLevelType w:val="hybridMultilevel"/>
    <w:tmpl w:val="207E09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1EC67FD"/>
    <w:multiLevelType w:val="hybridMultilevel"/>
    <w:tmpl w:val="5A5AA1A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5D57B57"/>
    <w:multiLevelType w:val="multilevel"/>
    <w:tmpl w:val="FF5E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905D4F"/>
    <w:multiLevelType w:val="hybridMultilevel"/>
    <w:tmpl w:val="B7E0C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FC235B"/>
    <w:multiLevelType w:val="hybridMultilevel"/>
    <w:tmpl w:val="27ECF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7A7DC0"/>
    <w:multiLevelType w:val="hybridMultilevel"/>
    <w:tmpl w:val="E27C3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D051CD"/>
    <w:multiLevelType w:val="hybridMultilevel"/>
    <w:tmpl w:val="A0A2F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E1425D"/>
    <w:multiLevelType w:val="hybridMultilevel"/>
    <w:tmpl w:val="627C8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C0143B"/>
    <w:multiLevelType w:val="hybridMultilevel"/>
    <w:tmpl w:val="B5A8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5455182"/>
    <w:multiLevelType w:val="multilevel"/>
    <w:tmpl w:val="3EAA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4F183B"/>
    <w:multiLevelType w:val="hybridMultilevel"/>
    <w:tmpl w:val="8AE29A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7FF4E52"/>
    <w:multiLevelType w:val="hybridMultilevel"/>
    <w:tmpl w:val="C8981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7D129D"/>
    <w:multiLevelType w:val="hybridMultilevel"/>
    <w:tmpl w:val="7F123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363C55"/>
    <w:multiLevelType w:val="multilevel"/>
    <w:tmpl w:val="76C8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190166"/>
    <w:multiLevelType w:val="hybridMultilevel"/>
    <w:tmpl w:val="AFFE12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E6B1217"/>
    <w:multiLevelType w:val="multilevel"/>
    <w:tmpl w:val="62BC2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3"/>
  </w:num>
  <w:num w:numId="3">
    <w:abstractNumId w:val="7"/>
  </w:num>
  <w:num w:numId="4">
    <w:abstractNumId w:val="12"/>
  </w:num>
  <w:num w:numId="5">
    <w:abstractNumId w:val="11"/>
  </w:num>
  <w:num w:numId="6">
    <w:abstractNumId w:val="14"/>
  </w:num>
  <w:num w:numId="7">
    <w:abstractNumId w:val="17"/>
  </w:num>
  <w:num w:numId="8">
    <w:abstractNumId w:val="10"/>
  </w:num>
  <w:num w:numId="9">
    <w:abstractNumId w:val="18"/>
  </w:num>
  <w:num w:numId="10">
    <w:abstractNumId w:val="9"/>
  </w:num>
  <w:num w:numId="11">
    <w:abstractNumId w:val="20"/>
  </w:num>
  <w:num w:numId="12">
    <w:abstractNumId w:val="16"/>
  </w:num>
  <w:num w:numId="13">
    <w:abstractNumId w:val="15"/>
  </w:num>
  <w:num w:numId="14">
    <w:abstractNumId w:val="0"/>
  </w:num>
  <w:num w:numId="15">
    <w:abstractNumId w:val="19"/>
  </w:num>
  <w:num w:numId="16">
    <w:abstractNumId w:val="21"/>
  </w:num>
  <w:num w:numId="17">
    <w:abstractNumId w:val="5"/>
  </w:num>
  <w:num w:numId="18">
    <w:abstractNumId w:val="2"/>
  </w:num>
  <w:num w:numId="19">
    <w:abstractNumId w:val="4"/>
  </w:num>
  <w:num w:numId="20">
    <w:abstractNumId w:val="8"/>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DF"/>
    <w:rsid w:val="00033013"/>
    <w:rsid w:val="00066F68"/>
    <w:rsid w:val="00093E3C"/>
    <w:rsid w:val="00115431"/>
    <w:rsid w:val="00152C59"/>
    <w:rsid w:val="0021731D"/>
    <w:rsid w:val="00244B4C"/>
    <w:rsid w:val="0027427C"/>
    <w:rsid w:val="002C5075"/>
    <w:rsid w:val="002E509F"/>
    <w:rsid w:val="002F6959"/>
    <w:rsid w:val="0031623A"/>
    <w:rsid w:val="0032036A"/>
    <w:rsid w:val="003541FF"/>
    <w:rsid w:val="00361693"/>
    <w:rsid w:val="003A153B"/>
    <w:rsid w:val="004005EC"/>
    <w:rsid w:val="004706CC"/>
    <w:rsid w:val="0047382A"/>
    <w:rsid w:val="004D658F"/>
    <w:rsid w:val="005159F8"/>
    <w:rsid w:val="00543957"/>
    <w:rsid w:val="005A6D7B"/>
    <w:rsid w:val="005E6912"/>
    <w:rsid w:val="005F052B"/>
    <w:rsid w:val="00655E62"/>
    <w:rsid w:val="007326B2"/>
    <w:rsid w:val="008A3330"/>
    <w:rsid w:val="008F4835"/>
    <w:rsid w:val="00923E23"/>
    <w:rsid w:val="00992B5E"/>
    <w:rsid w:val="009D788F"/>
    <w:rsid w:val="009E5082"/>
    <w:rsid w:val="00A01A91"/>
    <w:rsid w:val="00A8602D"/>
    <w:rsid w:val="00B05E9B"/>
    <w:rsid w:val="00C50D39"/>
    <w:rsid w:val="00C638F5"/>
    <w:rsid w:val="00C74832"/>
    <w:rsid w:val="00C77F9F"/>
    <w:rsid w:val="00DC11DF"/>
    <w:rsid w:val="00E67F53"/>
    <w:rsid w:val="00EE18FA"/>
    <w:rsid w:val="00EE7BD9"/>
    <w:rsid w:val="00EF4981"/>
    <w:rsid w:val="00F12AFA"/>
    <w:rsid w:val="00F82DC5"/>
    <w:rsid w:val="00FA2C85"/>
    <w:rsid w:val="00FD7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907F"/>
  <w15:chartTrackingRefBased/>
  <w15:docId w15:val="{24E927D0-150E-46CE-A67F-FCE0A8DE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5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82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7382A"/>
  </w:style>
  <w:style w:type="paragraph" w:styleId="a5">
    <w:name w:val="footer"/>
    <w:basedOn w:val="a"/>
    <w:link w:val="a6"/>
    <w:uiPriority w:val="99"/>
    <w:unhideWhenUsed/>
    <w:rsid w:val="0047382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7382A"/>
  </w:style>
  <w:style w:type="paragraph" w:styleId="a7">
    <w:name w:val="List Paragraph"/>
    <w:basedOn w:val="a"/>
    <w:uiPriority w:val="34"/>
    <w:qFormat/>
    <w:rsid w:val="00244B4C"/>
    <w:pPr>
      <w:ind w:left="720"/>
      <w:contextualSpacing/>
    </w:pPr>
  </w:style>
  <w:style w:type="table" w:styleId="a8">
    <w:name w:val="Table Grid"/>
    <w:basedOn w:val="a1"/>
    <w:uiPriority w:val="39"/>
    <w:rsid w:val="00FD7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D658F"/>
    <w:rPr>
      <w:color w:val="0563C1" w:themeColor="hyperlink"/>
      <w:u w:val="single"/>
    </w:rPr>
  </w:style>
  <w:style w:type="character" w:styleId="aa">
    <w:name w:val="Strong"/>
    <w:basedOn w:val="a0"/>
    <w:uiPriority w:val="22"/>
    <w:qFormat/>
    <w:rsid w:val="004D6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4388">
      <w:bodyDiv w:val="1"/>
      <w:marLeft w:val="0"/>
      <w:marRight w:val="0"/>
      <w:marTop w:val="0"/>
      <w:marBottom w:val="0"/>
      <w:divBdr>
        <w:top w:val="none" w:sz="0" w:space="0" w:color="auto"/>
        <w:left w:val="none" w:sz="0" w:space="0" w:color="auto"/>
        <w:bottom w:val="none" w:sz="0" w:space="0" w:color="auto"/>
        <w:right w:val="none" w:sz="0" w:space="0" w:color="auto"/>
      </w:divBdr>
      <w:divsChild>
        <w:div w:id="622199511">
          <w:marLeft w:val="0"/>
          <w:marRight w:val="0"/>
          <w:marTop w:val="0"/>
          <w:marBottom w:val="0"/>
          <w:divBdr>
            <w:top w:val="none" w:sz="0" w:space="0" w:color="auto"/>
            <w:left w:val="none" w:sz="0" w:space="0" w:color="auto"/>
            <w:bottom w:val="none" w:sz="0" w:space="0" w:color="auto"/>
            <w:right w:val="none" w:sz="0" w:space="0" w:color="auto"/>
          </w:divBdr>
          <w:divsChild>
            <w:div w:id="1828404025">
              <w:marLeft w:val="0"/>
              <w:marRight w:val="0"/>
              <w:marTop w:val="0"/>
              <w:marBottom w:val="0"/>
              <w:divBdr>
                <w:top w:val="none" w:sz="0" w:space="0" w:color="auto"/>
                <w:left w:val="none" w:sz="0" w:space="0" w:color="auto"/>
                <w:bottom w:val="none" w:sz="0" w:space="0" w:color="auto"/>
                <w:right w:val="none" w:sz="0" w:space="0" w:color="auto"/>
              </w:divBdr>
              <w:divsChild>
                <w:div w:id="601837540">
                  <w:marLeft w:val="0"/>
                  <w:marRight w:val="0"/>
                  <w:marTop w:val="0"/>
                  <w:marBottom w:val="0"/>
                  <w:divBdr>
                    <w:top w:val="none" w:sz="0" w:space="0" w:color="auto"/>
                    <w:left w:val="none" w:sz="0" w:space="0" w:color="auto"/>
                    <w:bottom w:val="none" w:sz="0" w:space="0" w:color="auto"/>
                    <w:right w:val="none" w:sz="0" w:space="0" w:color="auto"/>
                  </w:divBdr>
                  <w:divsChild>
                    <w:div w:id="156267893">
                      <w:marLeft w:val="0"/>
                      <w:marRight w:val="0"/>
                      <w:marTop w:val="0"/>
                      <w:marBottom w:val="0"/>
                      <w:divBdr>
                        <w:top w:val="none" w:sz="0" w:space="0" w:color="auto"/>
                        <w:left w:val="none" w:sz="0" w:space="0" w:color="auto"/>
                        <w:bottom w:val="none" w:sz="0" w:space="0" w:color="auto"/>
                        <w:right w:val="none" w:sz="0" w:space="0" w:color="auto"/>
                      </w:divBdr>
                      <w:divsChild>
                        <w:div w:id="356125129">
                          <w:marLeft w:val="0"/>
                          <w:marRight w:val="0"/>
                          <w:marTop w:val="0"/>
                          <w:marBottom w:val="0"/>
                          <w:divBdr>
                            <w:top w:val="none" w:sz="0" w:space="0" w:color="auto"/>
                            <w:left w:val="none" w:sz="0" w:space="0" w:color="auto"/>
                            <w:bottom w:val="none" w:sz="0" w:space="0" w:color="auto"/>
                            <w:right w:val="none" w:sz="0" w:space="0" w:color="auto"/>
                          </w:divBdr>
                          <w:divsChild>
                            <w:div w:id="189146168">
                              <w:marLeft w:val="0"/>
                              <w:marRight w:val="0"/>
                              <w:marTop w:val="0"/>
                              <w:marBottom w:val="0"/>
                              <w:divBdr>
                                <w:top w:val="none" w:sz="0" w:space="0" w:color="auto"/>
                                <w:left w:val="none" w:sz="0" w:space="0" w:color="auto"/>
                                <w:bottom w:val="none" w:sz="0" w:space="0" w:color="auto"/>
                                <w:right w:val="none" w:sz="0" w:space="0" w:color="auto"/>
                              </w:divBdr>
                              <w:divsChild>
                                <w:div w:id="27144469">
                                  <w:marLeft w:val="0"/>
                                  <w:marRight w:val="0"/>
                                  <w:marTop w:val="0"/>
                                  <w:marBottom w:val="0"/>
                                  <w:divBdr>
                                    <w:top w:val="none" w:sz="0" w:space="0" w:color="auto"/>
                                    <w:left w:val="none" w:sz="0" w:space="0" w:color="auto"/>
                                    <w:bottom w:val="none" w:sz="0" w:space="0" w:color="auto"/>
                                    <w:right w:val="none" w:sz="0" w:space="0" w:color="auto"/>
                                  </w:divBdr>
                                  <w:divsChild>
                                    <w:div w:id="11648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438">
                          <w:marLeft w:val="0"/>
                          <w:marRight w:val="0"/>
                          <w:marTop w:val="0"/>
                          <w:marBottom w:val="0"/>
                          <w:divBdr>
                            <w:top w:val="none" w:sz="0" w:space="0" w:color="auto"/>
                            <w:left w:val="none" w:sz="0" w:space="0" w:color="auto"/>
                            <w:bottom w:val="none" w:sz="0" w:space="0" w:color="auto"/>
                            <w:right w:val="none" w:sz="0" w:space="0" w:color="auto"/>
                          </w:divBdr>
                          <w:divsChild>
                            <w:div w:id="2056150299">
                              <w:marLeft w:val="0"/>
                              <w:marRight w:val="0"/>
                              <w:marTop w:val="0"/>
                              <w:marBottom w:val="0"/>
                              <w:divBdr>
                                <w:top w:val="none" w:sz="0" w:space="0" w:color="auto"/>
                                <w:left w:val="none" w:sz="0" w:space="0" w:color="auto"/>
                                <w:bottom w:val="none" w:sz="0" w:space="0" w:color="auto"/>
                                <w:right w:val="none" w:sz="0" w:space="0" w:color="auto"/>
                              </w:divBdr>
                              <w:divsChild>
                                <w:div w:id="760103510">
                                  <w:marLeft w:val="0"/>
                                  <w:marRight w:val="0"/>
                                  <w:marTop w:val="0"/>
                                  <w:marBottom w:val="0"/>
                                  <w:divBdr>
                                    <w:top w:val="none" w:sz="0" w:space="0" w:color="auto"/>
                                    <w:left w:val="none" w:sz="0" w:space="0" w:color="auto"/>
                                    <w:bottom w:val="none" w:sz="0" w:space="0" w:color="auto"/>
                                    <w:right w:val="none" w:sz="0" w:space="0" w:color="auto"/>
                                  </w:divBdr>
                                  <w:divsChild>
                                    <w:div w:id="17418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383095">
          <w:marLeft w:val="0"/>
          <w:marRight w:val="0"/>
          <w:marTop w:val="0"/>
          <w:marBottom w:val="0"/>
          <w:divBdr>
            <w:top w:val="none" w:sz="0" w:space="0" w:color="auto"/>
            <w:left w:val="none" w:sz="0" w:space="0" w:color="auto"/>
            <w:bottom w:val="none" w:sz="0" w:space="0" w:color="auto"/>
            <w:right w:val="none" w:sz="0" w:space="0" w:color="auto"/>
          </w:divBdr>
          <w:divsChild>
            <w:div w:id="1944412376">
              <w:marLeft w:val="0"/>
              <w:marRight w:val="0"/>
              <w:marTop w:val="0"/>
              <w:marBottom w:val="0"/>
              <w:divBdr>
                <w:top w:val="none" w:sz="0" w:space="0" w:color="auto"/>
                <w:left w:val="none" w:sz="0" w:space="0" w:color="auto"/>
                <w:bottom w:val="none" w:sz="0" w:space="0" w:color="auto"/>
                <w:right w:val="none" w:sz="0" w:space="0" w:color="auto"/>
              </w:divBdr>
              <w:divsChild>
                <w:div w:id="1724402816">
                  <w:marLeft w:val="0"/>
                  <w:marRight w:val="0"/>
                  <w:marTop w:val="0"/>
                  <w:marBottom w:val="0"/>
                  <w:divBdr>
                    <w:top w:val="none" w:sz="0" w:space="0" w:color="auto"/>
                    <w:left w:val="none" w:sz="0" w:space="0" w:color="auto"/>
                    <w:bottom w:val="none" w:sz="0" w:space="0" w:color="auto"/>
                    <w:right w:val="none" w:sz="0" w:space="0" w:color="auto"/>
                  </w:divBdr>
                  <w:divsChild>
                    <w:div w:id="1040202702">
                      <w:marLeft w:val="0"/>
                      <w:marRight w:val="0"/>
                      <w:marTop w:val="0"/>
                      <w:marBottom w:val="0"/>
                      <w:divBdr>
                        <w:top w:val="none" w:sz="0" w:space="0" w:color="auto"/>
                        <w:left w:val="none" w:sz="0" w:space="0" w:color="auto"/>
                        <w:bottom w:val="none" w:sz="0" w:space="0" w:color="auto"/>
                        <w:right w:val="none" w:sz="0" w:space="0" w:color="auto"/>
                      </w:divBdr>
                      <w:divsChild>
                        <w:div w:id="1359355574">
                          <w:marLeft w:val="0"/>
                          <w:marRight w:val="0"/>
                          <w:marTop w:val="0"/>
                          <w:marBottom w:val="0"/>
                          <w:divBdr>
                            <w:top w:val="none" w:sz="0" w:space="0" w:color="auto"/>
                            <w:left w:val="none" w:sz="0" w:space="0" w:color="auto"/>
                            <w:bottom w:val="none" w:sz="0" w:space="0" w:color="auto"/>
                            <w:right w:val="none" w:sz="0" w:space="0" w:color="auto"/>
                          </w:divBdr>
                          <w:divsChild>
                            <w:div w:id="809984212">
                              <w:marLeft w:val="0"/>
                              <w:marRight w:val="0"/>
                              <w:marTop w:val="0"/>
                              <w:marBottom w:val="0"/>
                              <w:divBdr>
                                <w:top w:val="none" w:sz="0" w:space="0" w:color="auto"/>
                                <w:left w:val="none" w:sz="0" w:space="0" w:color="auto"/>
                                <w:bottom w:val="none" w:sz="0" w:space="0" w:color="auto"/>
                                <w:right w:val="none" w:sz="0" w:space="0" w:color="auto"/>
                              </w:divBdr>
                              <w:divsChild>
                                <w:div w:id="1620719157">
                                  <w:marLeft w:val="0"/>
                                  <w:marRight w:val="0"/>
                                  <w:marTop w:val="0"/>
                                  <w:marBottom w:val="0"/>
                                  <w:divBdr>
                                    <w:top w:val="none" w:sz="0" w:space="0" w:color="auto"/>
                                    <w:left w:val="none" w:sz="0" w:space="0" w:color="auto"/>
                                    <w:bottom w:val="none" w:sz="0" w:space="0" w:color="auto"/>
                                    <w:right w:val="none" w:sz="0" w:space="0" w:color="auto"/>
                                  </w:divBdr>
                                  <w:divsChild>
                                    <w:div w:id="1326399081">
                                      <w:marLeft w:val="0"/>
                                      <w:marRight w:val="0"/>
                                      <w:marTop w:val="0"/>
                                      <w:marBottom w:val="0"/>
                                      <w:divBdr>
                                        <w:top w:val="none" w:sz="0" w:space="0" w:color="auto"/>
                                        <w:left w:val="none" w:sz="0" w:space="0" w:color="auto"/>
                                        <w:bottom w:val="none" w:sz="0" w:space="0" w:color="auto"/>
                                        <w:right w:val="none" w:sz="0" w:space="0" w:color="auto"/>
                                      </w:divBdr>
                                      <w:divsChild>
                                        <w:div w:id="19028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323263">
          <w:marLeft w:val="0"/>
          <w:marRight w:val="0"/>
          <w:marTop w:val="0"/>
          <w:marBottom w:val="0"/>
          <w:divBdr>
            <w:top w:val="none" w:sz="0" w:space="0" w:color="auto"/>
            <w:left w:val="none" w:sz="0" w:space="0" w:color="auto"/>
            <w:bottom w:val="none" w:sz="0" w:space="0" w:color="auto"/>
            <w:right w:val="none" w:sz="0" w:space="0" w:color="auto"/>
          </w:divBdr>
          <w:divsChild>
            <w:div w:id="248929087">
              <w:marLeft w:val="0"/>
              <w:marRight w:val="0"/>
              <w:marTop w:val="0"/>
              <w:marBottom w:val="0"/>
              <w:divBdr>
                <w:top w:val="none" w:sz="0" w:space="0" w:color="auto"/>
                <w:left w:val="none" w:sz="0" w:space="0" w:color="auto"/>
                <w:bottom w:val="none" w:sz="0" w:space="0" w:color="auto"/>
                <w:right w:val="none" w:sz="0" w:space="0" w:color="auto"/>
              </w:divBdr>
              <w:divsChild>
                <w:div w:id="1746413749">
                  <w:marLeft w:val="0"/>
                  <w:marRight w:val="0"/>
                  <w:marTop w:val="0"/>
                  <w:marBottom w:val="0"/>
                  <w:divBdr>
                    <w:top w:val="none" w:sz="0" w:space="0" w:color="auto"/>
                    <w:left w:val="none" w:sz="0" w:space="0" w:color="auto"/>
                    <w:bottom w:val="none" w:sz="0" w:space="0" w:color="auto"/>
                    <w:right w:val="none" w:sz="0" w:space="0" w:color="auto"/>
                  </w:divBdr>
                  <w:divsChild>
                    <w:div w:id="1905602402">
                      <w:marLeft w:val="0"/>
                      <w:marRight w:val="0"/>
                      <w:marTop w:val="0"/>
                      <w:marBottom w:val="0"/>
                      <w:divBdr>
                        <w:top w:val="none" w:sz="0" w:space="0" w:color="auto"/>
                        <w:left w:val="none" w:sz="0" w:space="0" w:color="auto"/>
                        <w:bottom w:val="none" w:sz="0" w:space="0" w:color="auto"/>
                        <w:right w:val="none" w:sz="0" w:space="0" w:color="auto"/>
                      </w:divBdr>
                      <w:divsChild>
                        <w:div w:id="871457778">
                          <w:marLeft w:val="0"/>
                          <w:marRight w:val="0"/>
                          <w:marTop w:val="0"/>
                          <w:marBottom w:val="0"/>
                          <w:divBdr>
                            <w:top w:val="none" w:sz="0" w:space="0" w:color="auto"/>
                            <w:left w:val="none" w:sz="0" w:space="0" w:color="auto"/>
                            <w:bottom w:val="none" w:sz="0" w:space="0" w:color="auto"/>
                            <w:right w:val="none" w:sz="0" w:space="0" w:color="auto"/>
                          </w:divBdr>
                          <w:divsChild>
                            <w:div w:id="1213156248">
                              <w:marLeft w:val="0"/>
                              <w:marRight w:val="0"/>
                              <w:marTop w:val="0"/>
                              <w:marBottom w:val="0"/>
                              <w:divBdr>
                                <w:top w:val="none" w:sz="0" w:space="0" w:color="auto"/>
                                <w:left w:val="none" w:sz="0" w:space="0" w:color="auto"/>
                                <w:bottom w:val="none" w:sz="0" w:space="0" w:color="auto"/>
                                <w:right w:val="none" w:sz="0" w:space="0" w:color="auto"/>
                              </w:divBdr>
                              <w:divsChild>
                                <w:div w:id="12206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508">
                  <w:marLeft w:val="0"/>
                  <w:marRight w:val="0"/>
                  <w:marTop w:val="0"/>
                  <w:marBottom w:val="0"/>
                  <w:divBdr>
                    <w:top w:val="none" w:sz="0" w:space="0" w:color="auto"/>
                    <w:left w:val="none" w:sz="0" w:space="0" w:color="auto"/>
                    <w:bottom w:val="none" w:sz="0" w:space="0" w:color="auto"/>
                    <w:right w:val="none" w:sz="0" w:space="0" w:color="auto"/>
                  </w:divBdr>
                  <w:divsChild>
                    <w:div w:id="1457260186">
                      <w:marLeft w:val="0"/>
                      <w:marRight w:val="0"/>
                      <w:marTop w:val="0"/>
                      <w:marBottom w:val="0"/>
                      <w:divBdr>
                        <w:top w:val="none" w:sz="0" w:space="0" w:color="auto"/>
                        <w:left w:val="none" w:sz="0" w:space="0" w:color="auto"/>
                        <w:bottom w:val="none" w:sz="0" w:space="0" w:color="auto"/>
                        <w:right w:val="none" w:sz="0" w:space="0" w:color="auto"/>
                      </w:divBdr>
                      <w:divsChild>
                        <w:div w:id="1341544593">
                          <w:marLeft w:val="0"/>
                          <w:marRight w:val="0"/>
                          <w:marTop w:val="0"/>
                          <w:marBottom w:val="0"/>
                          <w:divBdr>
                            <w:top w:val="none" w:sz="0" w:space="0" w:color="auto"/>
                            <w:left w:val="none" w:sz="0" w:space="0" w:color="auto"/>
                            <w:bottom w:val="none" w:sz="0" w:space="0" w:color="auto"/>
                            <w:right w:val="none" w:sz="0" w:space="0" w:color="auto"/>
                          </w:divBdr>
                          <w:divsChild>
                            <w:div w:id="1764568673">
                              <w:marLeft w:val="0"/>
                              <w:marRight w:val="0"/>
                              <w:marTop w:val="0"/>
                              <w:marBottom w:val="0"/>
                              <w:divBdr>
                                <w:top w:val="none" w:sz="0" w:space="0" w:color="auto"/>
                                <w:left w:val="none" w:sz="0" w:space="0" w:color="auto"/>
                                <w:bottom w:val="none" w:sz="0" w:space="0" w:color="auto"/>
                                <w:right w:val="none" w:sz="0" w:space="0" w:color="auto"/>
                              </w:divBdr>
                              <w:divsChild>
                                <w:div w:id="887495728">
                                  <w:marLeft w:val="0"/>
                                  <w:marRight w:val="0"/>
                                  <w:marTop w:val="0"/>
                                  <w:marBottom w:val="0"/>
                                  <w:divBdr>
                                    <w:top w:val="none" w:sz="0" w:space="0" w:color="auto"/>
                                    <w:left w:val="none" w:sz="0" w:space="0" w:color="auto"/>
                                    <w:bottom w:val="none" w:sz="0" w:space="0" w:color="auto"/>
                                    <w:right w:val="none" w:sz="0" w:space="0" w:color="auto"/>
                                  </w:divBdr>
                                  <w:divsChild>
                                    <w:div w:id="18805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024695">
      <w:bodyDiv w:val="1"/>
      <w:marLeft w:val="0"/>
      <w:marRight w:val="0"/>
      <w:marTop w:val="0"/>
      <w:marBottom w:val="0"/>
      <w:divBdr>
        <w:top w:val="none" w:sz="0" w:space="0" w:color="auto"/>
        <w:left w:val="none" w:sz="0" w:space="0" w:color="auto"/>
        <w:bottom w:val="none" w:sz="0" w:space="0" w:color="auto"/>
        <w:right w:val="none" w:sz="0" w:space="0" w:color="auto"/>
      </w:divBdr>
    </w:div>
    <w:div w:id="418216112">
      <w:bodyDiv w:val="1"/>
      <w:marLeft w:val="0"/>
      <w:marRight w:val="0"/>
      <w:marTop w:val="0"/>
      <w:marBottom w:val="0"/>
      <w:divBdr>
        <w:top w:val="none" w:sz="0" w:space="0" w:color="auto"/>
        <w:left w:val="none" w:sz="0" w:space="0" w:color="auto"/>
        <w:bottom w:val="none" w:sz="0" w:space="0" w:color="auto"/>
        <w:right w:val="none" w:sz="0" w:space="0" w:color="auto"/>
      </w:divBdr>
    </w:div>
    <w:div w:id="693313561">
      <w:bodyDiv w:val="1"/>
      <w:marLeft w:val="0"/>
      <w:marRight w:val="0"/>
      <w:marTop w:val="0"/>
      <w:marBottom w:val="0"/>
      <w:divBdr>
        <w:top w:val="none" w:sz="0" w:space="0" w:color="auto"/>
        <w:left w:val="none" w:sz="0" w:space="0" w:color="auto"/>
        <w:bottom w:val="none" w:sz="0" w:space="0" w:color="auto"/>
        <w:right w:val="none" w:sz="0" w:space="0" w:color="auto"/>
      </w:divBdr>
      <w:divsChild>
        <w:div w:id="1501196898">
          <w:marLeft w:val="0"/>
          <w:marRight w:val="0"/>
          <w:marTop w:val="0"/>
          <w:marBottom w:val="0"/>
          <w:divBdr>
            <w:top w:val="none" w:sz="0" w:space="0" w:color="auto"/>
            <w:left w:val="none" w:sz="0" w:space="0" w:color="auto"/>
            <w:bottom w:val="none" w:sz="0" w:space="0" w:color="auto"/>
            <w:right w:val="none" w:sz="0" w:space="0" w:color="auto"/>
          </w:divBdr>
          <w:divsChild>
            <w:div w:id="1831216633">
              <w:marLeft w:val="0"/>
              <w:marRight w:val="0"/>
              <w:marTop w:val="0"/>
              <w:marBottom w:val="0"/>
              <w:divBdr>
                <w:top w:val="none" w:sz="0" w:space="0" w:color="auto"/>
                <w:left w:val="none" w:sz="0" w:space="0" w:color="auto"/>
                <w:bottom w:val="none" w:sz="0" w:space="0" w:color="auto"/>
                <w:right w:val="none" w:sz="0" w:space="0" w:color="auto"/>
              </w:divBdr>
              <w:divsChild>
                <w:div w:id="722294890">
                  <w:marLeft w:val="0"/>
                  <w:marRight w:val="0"/>
                  <w:marTop w:val="0"/>
                  <w:marBottom w:val="0"/>
                  <w:divBdr>
                    <w:top w:val="none" w:sz="0" w:space="0" w:color="auto"/>
                    <w:left w:val="none" w:sz="0" w:space="0" w:color="auto"/>
                    <w:bottom w:val="none" w:sz="0" w:space="0" w:color="auto"/>
                    <w:right w:val="none" w:sz="0" w:space="0" w:color="auto"/>
                  </w:divBdr>
                  <w:divsChild>
                    <w:div w:id="1160077500">
                      <w:marLeft w:val="0"/>
                      <w:marRight w:val="0"/>
                      <w:marTop w:val="0"/>
                      <w:marBottom w:val="0"/>
                      <w:divBdr>
                        <w:top w:val="none" w:sz="0" w:space="0" w:color="auto"/>
                        <w:left w:val="none" w:sz="0" w:space="0" w:color="auto"/>
                        <w:bottom w:val="none" w:sz="0" w:space="0" w:color="auto"/>
                        <w:right w:val="none" w:sz="0" w:space="0" w:color="auto"/>
                      </w:divBdr>
                      <w:divsChild>
                        <w:div w:id="1710298338">
                          <w:marLeft w:val="0"/>
                          <w:marRight w:val="0"/>
                          <w:marTop w:val="0"/>
                          <w:marBottom w:val="0"/>
                          <w:divBdr>
                            <w:top w:val="none" w:sz="0" w:space="0" w:color="auto"/>
                            <w:left w:val="none" w:sz="0" w:space="0" w:color="auto"/>
                            <w:bottom w:val="none" w:sz="0" w:space="0" w:color="auto"/>
                            <w:right w:val="none" w:sz="0" w:space="0" w:color="auto"/>
                          </w:divBdr>
                          <w:divsChild>
                            <w:div w:id="4209244">
                              <w:marLeft w:val="0"/>
                              <w:marRight w:val="0"/>
                              <w:marTop w:val="0"/>
                              <w:marBottom w:val="0"/>
                              <w:divBdr>
                                <w:top w:val="none" w:sz="0" w:space="0" w:color="auto"/>
                                <w:left w:val="none" w:sz="0" w:space="0" w:color="auto"/>
                                <w:bottom w:val="none" w:sz="0" w:space="0" w:color="auto"/>
                                <w:right w:val="none" w:sz="0" w:space="0" w:color="auto"/>
                              </w:divBdr>
                              <w:divsChild>
                                <w:div w:id="1670984561">
                                  <w:marLeft w:val="0"/>
                                  <w:marRight w:val="0"/>
                                  <w:marTop w:val="0"/>
                                  <w:marBottom w:val="0"/>
                                  <w:divBdr>
                                    <w:top w:val="none" w:sz="0" w:space="0" w:color="auto"/>
                                    <w:left w:val="none" w:sz="0" w:space="0" w:color="auto"/>
                                    <w:bottom w:val="none" w:sz="0" w:space="0" w:color="auto"/>
                                    <w:right w:val="none" w:sz="0" w:space="0" w:color="auto"/>
                                  </w:divBdr>
                                  <w:divsChild>
                                    <w:div w:id="4258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02519">
                          <w:marLeft w:val="0"/>
                          <w:marRight w:val="0"/>
                          <w:marTop w:val="0"/>
                          <w:marBottom w:val="0"/>
                          <w:divBdr>
                            <w:top w:val="none" w:sz="0" w:space="0" w:color="auto"/>
                            <w:left w:val="none" w:sz="0" w:space="0" w:color="auto"/>
                            <w:bottom w:val="none" w:sz="0" w:space="0" w:color="auto"/>
                            <w:right w:val="none" w:sz="0" w:space="0" w:color="auto"/>
                          </w:divBdr>
                          <w:divsChild>
                            <w:div w:id="447116698">
                              <w:marLeft w:val="0"/>
                              <w:marRight w:val="0"/>
                              <w:marTop w:val="0"/>
                              <w:marBottom w:val="0"/>
                              <w:divBdr>
                                <w:top w:val="none" w:sz="0" w:space="0" w:color="auto"/>
                                <w:left w:val="none" w:sz="0" w:space="0" w:color="auto"/>
                                <w:bottom w:val="none" w:sz="0" w:space="0" w:color="auto"/>
                                <w:right w:val="none" w:sz="0" w:space="0" w:color="auto"/>
                              </w:divBdr>
                              <w:divsChild>
                                <w:div w:id="664552417">
                                  <w:marLeft w:val="0"/>
                                  <w:marRight w:val="0"/>
                                  <w:marTop w:val="0"/>
                                  <w:marBottom w:val="0"/>
                                  <w:divBdr>
                                    <w:top w:val="none" w:sz="0" w:space="0" w:color="auto"/>
                                    <w:left w:val="none" w:sz="0" w:space="0" w:color="auto"/>
                                    <w:bottom w:val="none" w:sz="0" w:space="0" w:color="auto"/>
                                    <w:right w:val="none" w:sz="0" w:space="0" w:color="auto"/>
                                  </w:divBdr>
                                  <w:divsChild>
                                    <w:div w:id="5490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147774">
          <w:marLeft w:val="0"/>
          <w:marRight w:val="0"/>
          <w:marTop w:val="0"/>
          <w:marBottom w:val="0"/>
          <w:divBdr>
            <w:top w:val="none" w:sz="0" w:space="0" w:color="auto"/>
            <w:left w:val="none" w:sz="0" w:space="0" w:color="auto"/>
            <w:bottom w:val="none" w:sz="0" w:space="0" w:color="auto"/>
            <w:right w:val="none" w:sz="0" w:space="0" w:color="auto"/>
          </w:divBdr>
          <w:divsChild>
            <w:div w:id="1279137933">
              <w:marLeft w:val="0"/>
              <w:marRight w:val="0"/>
              <w:marTop w:val="0"/>
              <w:marBottom w:val="0"/>
              <w:divBdr>
                <w:top w:val="none" w:sz="0" w:space="0" w:color="auto"/>
                <w:left w:val="none" w:sz="0" w:space="0" w:color="auto"/>
                <w:bottom w:val="none" w:sz="0" w:space="0" w:color="auto"/>
                <w:right w:val="none" w:sz="0" w:space="0" w:color="auto"/>
              </w:divBdr>
              <w:divsChild>
                <w:div w:id="775756100">
                  <w:marLeft w:val="0"/>
                  <w:marRight w:val="0"/>
                  <w:marTop w:val="0"/>
                  <w:marBottom w:val="0"/>
                  <w:divBdr>
                    <w:top w:val="none" w:sz="0" w:space="0" w:color="auto"/>
                    <w:left w:val="none" w:sz="0" w:space="0" w:color="auto"/>
                    <w:bottom w:val="none" w:sz="0" w:space="0" w:color="auto"/>
                    <w:right w:val="none" w:sz="0" w:space="0" w:color="auto"/>
                  </w:divBdr>
                  <w:divsChild>
                    <w:div w:id="960263554">
                      <w:marLeft w:val="0"/>
                      <w:marRight w:val="0"/>
                      <w:marTop w:val="0"/>
                      <w:marBottom w:val="0"/>
                      <w:divBdr>
                        <w:top w:val="none" w:sz="0" w:space="0" w:color="auto"/>
                        <w:left w:val="none" w:sz="0" w:space="0" w:color="auto"/>
                        <w:bottom w:val="none" w:sz="0" w:space="0" w:color="auto"/>
                        <w:right w:val="none" w:sz="0" w:space="0" w:color="auto"/>
                      </w:divBdr>
                      <w:divsChild>
                        <w:div w:id="33623382">
                          <w:marLeft w:val="0"/>
                          <w:marRight w:val="0"/>
                          <w:marTop w:val="0"/>
                          <w:marBottom w:val="0"/>
                          <w:divBdr>
                            <w:top w:val="none" w:sz="0" w:space="0" w:color="auto"/>
                            <w:left w:val="none" w:sz="0" w:space="0" w:color="auto"/>
                            <w:bottom w:val="none" w:sz="0" w:space="0" w:color="auto"/>
                            <w:right w:val="none" w:sz="0" w:space="0" w:color="auto"/>
                          </w:divBdr>
                          <w:divsChild>
                            <w:div w:id="2136479939">
                              <w:marLeft w:val="0"/>
                              <w:marRight w:val="0"/>
                              <w:marTop w:val="0"/>
                              <w:marBottom w:val="0"/>
                              <w:divBdr>
                                <w:top w:val="none" w:sz="0" w:space="0" w:color="auto"/>
                                <w:left w:val="none" w:sz="0" w:space="0" w:color="auto"/>
                                <w:bottom w:val="none" w:sz="0" w:space="0" w:color="auto"/>
                                <w:right w:val="none" w:sz="0" w:space="0" w:color="auto"/>
                              </w:divBdr>
                              <w:divsChild>
                                <w:div w:id="176043335">
                                  <w:marLeft w:val="0"/>
                                  <w:marRight w:val="0"/>
                                  <w:marTop w:val="0"/>
                                  <w:marBottom w:val="0"/>
                                  <w:divBdr>
                                    <w:top w:val="none" w:sz="0" w:space="0" w:color="auto"/>
                                    <w:left w:val="none" w:sz="0" w:space="0" w:color="auto"/>
                                    <w:bottom w:val="none" w:sz="0" w:space="0" w:color="auto"/>
                                    <w:right w:val="none" w:sz="0" w:space="0" w:color="auto"/>
                                  </w:divBdr>
                                  <w:divsChild>
                                    <w:div w:id="1500584291">
                                      <w:marLeft w:val="0"/>
                                      <w:marRight w:val="0"/>
                                      <w:marTop w:val="0"/>
                                      <w:marBottom w:val="0"/>
                                      <w:divBdr>
                                        <w:top w:val="none" w:sz="0" w:space="0" w:color="auto"/>
                                        <w:left w:val="none" w:sz="0" w:space="0" w:color="auto"/>
                                        <w:bottom w:val="none" w:sz="0" w:space="0" w:color="auto"/>
                                        <w:right w:val="none" w:sz="0" w:space="0" w:color="auto"/>
                                      </w:divBdr>
                                      <w:divsChild>
                                        <w:div w:id="9639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02867">
          <w:marLeft w:val="0"/>
          <w:marRight w:val="0"/>
          <w:marTop w:val="0"/>
          <w:marBottom w:val="0"/>
          <w:divBdr>
            <w:top w:val="none" w:sz="0" w:space="0" w:color="auto"/>
            <w:left w:val="none" w:sz="0" w:space="0" w:color="auto"/>
            <w:bottom w:val="none" w:sz="0" w:space="0" w:color="auto"/>
            <w:right w:val="none" w:sz="0" w:space="0" w:color="auto"/>
          </w:divBdr>
          <w:divsChild>
            <w:div w:id="1893079047">
              <w:marLeft w:val="0"/>
              <w:marRight w:val="0"/>
              <w:marTop w:val="0"/>
              <w:marBottom w:val="0"/>
              <w:divBdr>
                <w:top w:val="none" w:sz="0" w:space="0" w:color="auto"/>
                <w:left w:val="none" w:sz="0" w:space="0" w:color="auto"/>
                <w:bottom w:val="none" w:sz="0" w:space="0" w:color="auto"/>
                <w:right w:val="none" w:sz="0" w:space="0" w:color="auto"/>
              </w:divBdr>
              <w:divsChild>
                <w:div w:id="831221515">
                  <w:marLeft w:val="0"/>
                  <w:marRight w:val="0"/>
                  <w:marTop w:val="0"/>
                  <w:marBottom w:val="0"/>
                  <w:divBdr>
                    <w:top w:val="none" w:sz="0" w:space="0" w:color="auto"/>
                    <w:left w:val="none" w:sz="0" w:space="0" w:color="auto"/>
                    <w:bottom w:val="none" w:sz="0" w:space="0" w:color="auto"/>
                    <w:right w:val="none" w:sz="0" w:space="0" w:color="auto"/>
                  </w:divBdr>
                  <w:divsChild>
                    <w:div w:id="1742022984">
                      <w:marLeft w:val="0"/>
                      <w:marRight w:val="0"/>
                      <w:marTop w:val="0"/>
                      <w:marBottom w:val="0"/>
                      <w:divBdr>
                        <w:top w:val="none" w:sz="0" w:space="0" w:color="auto"/>
                        <w:left w:val="none" w:sz="0" w:space="0" w:color="auto"/>
                        <w:bottom w:val="none" w:sz="0" w:space="0" w:color="auto"/>
                        <w:right w:val="none" w:sz="0" w:space="0" w:color="auto"/>
                      </w:divBdr>
                      <w:divsChild>
                        <w:div w:id="1341272607">
                          <w:marLeft w:val="0"/>
                          <w:marRight w:val="0"/>
                          <w:marTop w:val="0"/>
                          <w:marBottom w:val="0"/>
                          <w:divBdr>
                            <w:top w:val="none" w:sz="0" w:space="0" w:color="auto"/>
                            <w:left w:val="none" w:sz="0" w:space="0" w:color="auto"/>
                            <w:bottom w:val="none" w:sz="0" w:space="0" w:color="auto"/>
                            <w:right w:val="none" w:sz="0" w:space="0" w:color="auto"/>
                          </w:divBdr>
                          <w:divsChild>
                            <w:div w:id="1862817240">
                              <w:marLeft w:val="0"/>
                              <w:marRight w:val="0"/>
                              <w:marTop w:val="0"/>
                              <w:marBottom w:val="0"/>
                              <w:divBdr>
                                <w:top w:val="none" w:sz="0" w:space="0" w:color="auto"/>
                                <w:left w:val="none" w:sz="0" w:space="0" w:color="auto"/>
                                <w:bottom w:val="none" w:sz="0" w:space="0" w:color="auto"/>
                                <w:right w:val="none" w:sz="0" w:space="0" w:color="auto"/>
                              </w:divBdr>
                              <w:divsChild>
                                <w:div w:id="3777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32592">
                  <w:marLeft w:val="0"/>
                  <w:marRight w:val="0"/>
                  <w:marTop w:val="0"/>
                  <w:marBottom w:val="0"/>
                  <w:divBdr>
                    <w:top w:val="none" w:sz="0" w:space="0" w:color="auto"/>
                    <w:left w:val="none" w:sz="0" w:space="0" w:color="auto"/>
                    <w:bottom w:val="none" w:sz="0" w:space="0" w:color="auto"/>
                    <w:right w:val="none" w:sz="0" w:space="0" w:color="auto"/>
                  </w:divBdr>
                  <w:divsChild>
                    <w:div w:id="688945376">
                      <w:marLeft w:val="0"/>
                      <w:marRight w:val="0"/>
                      <w:marTop w:val="0"/>
                      <w:marBottom w:val="0"/>
                      <w:divBdr>
                        <w:top w:val="none" w:sz="0" w:space="0" w:color="auto"/>
                        <w:left w:val="none" w:sz="0" w:space="0" w:color="auto"/>
                        <w:bottom w:val="none" w:sz="0" w:space="0" w:color="auto"/>
                        <w:right w:val="none" w:sz="0" w:space="0" w:color="auto"/>
                      </w:divBdr>
                      <w:divsChild>
                        <w:div w:id="593517552">
                          <w:marLeft w:val="0"/>
                          <w:marRight w:val="0"/>
                          <w:marTop w:val="0"/>
                          <w:marBottom w:val="0"/>
                          <w:divBdr>
                            <w:top w:val="none" w:sz="0" w:space="0" w:color="auto"/>
                            <w:left w:val="none" w:sz="0" w:space="0" w:color="auto"/>
                            <w:bottom w:val="none" w:sz="0" w:space="0" w:color="auto"/>
                            <w:right w:val="none" w:sz="0" w:space="0" w:color="auto"/>
                          </w:divBdr>
                          <w:divsChild>
                            <w:div w:id="1176266136">
                              <w:marLeft w:val="0"/>
                              <w:marRight w:val="0"/>
                              <w:marTop w:val="0"/>
                              <w:marBottom w:val="0"/>
                              <w:divBdr>
                                <w:top w:val="none" w:sz="0" w:space="0" w:color="auto"/>
                                <w:left w:val="none" w:sz="0" w:space="0" w:color="auto"/>
                                <w:bottom w:val="none" w:sz="0" w:space="0" w:color="auto"/>
                                <w:right w:val="none" w:sz="0" w:space="0" w:color="auto"/>
                              </w:divBdr>
                              <w:divsChild>
                                <w:div w:id="348333013">
                                  <w:marLeft w:val="0"/>
                                  <w:marRight w:val="0"/>
                                  <w:marTop w:val="0"/>
                                  <w:marBottom w:val="0"/>
                                  <w:divBdr>
                                    <w:top w:val="none" w:sz="0" w:space="0" w:color="auto"/>
                                    <w:left w:val="none" w:sz="0" w:space="0" w:color="auto"/>
                                    <w:bottom w:val="none" w:sz="0" w:space="0" w:color="auto"/>
                                    <w:right w:val="none" w:sz="0" w:space="0" w:color="auto"/>
                                  </w:divBdr>
                                  <w:divsChild>
                                    <w:div w:id="946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797520">
      <w:bodyDiv w:val="1"/>
      <w:marLeft w:val="0"/>
      <w:marRight w:val="0"/>
      <w:marTop w:val="0"/>
      <w:marBottom w:val="0"/>
      <w:divBdr>
        <w:top w:val="none" w:sz="0" w:space="0" w:color="auto"/>
        <w:left w:val="none" w:sz="0" w:space="0" w:color="auto"/>
        <w:bottom w:val="none" w:sz="0" w:space="0" w:color="auto"/>
        <w:right w:val="none" w:sz="0" w:space="0" w:color="auto"/>
      </w:divBdr>
    </w:div>
    <w:div w:id="1360011772">
      <w:bodyDiv w:val="1"/>
      <w:marLeft w:val="0"/>
      <w:marRight w:val="0"/>
      <w:marTop w:val="0"/>
      <w:marBottom w:val="0"/>
      <w:divBdr>
        <w:top w:val="none" w:sz="0" w:space="0" w:color="auto"/>
        <w:left w:val="none" w:sz="0" w:space="0" w:color="auto"/>
        <w:bottom w:val="none" w:sz="0" w:space="0" w:color="auto"/>
        <w:right w:val="none" w:sz="0" w:space="0" w:color="auto"/>
      </w:divBdr>
    </w:div>
    <w:div w:id="1872769021">
      <w:bodyDiv w:val="1"/>
      <w:marLeft w:val="0"/>
      <w:marRight w:val="0"/>
      <w:marTop w:val="0"/>
      <w:marBottom w:val="0"/>
      <w:divBdr>
        <w:top w:val="none" w:sz="0" w:space="0" w:color="auto"/>
        <w:left w:val="none" w:sz="0" w:space="0" w:color="auto"/>
        <w:bottom w:val="none" w:sz="0" w:space="0" w:color="auto"/>
        <w:right w:val="none" w:sz="0" w:space="0" w:color="auto"/>
      </w:divBdr>
    </w:div>
    <w:div w:id="1920942015">
      <w:bodyDiv w:val="1"/>
      <w:marLeft w:val="0"/>
      <w:marRight w:val="0"/>
      <w:marTop w:val="0"/>
      <w:marBottom w:val="0"/>
      <w:divBdr>
        <w:top w:val="none" w:sz="0" w:space="0" w:color="auto"/>
        <w:left w:val="none" w:sz="0" w:space="0" w:color="auto"/>
        <w:bottom w:val="none" w:sz="0" w:space="0" w:color="auto"/>
        <w:right w:val="none" w:sz="0" w:space="0" w:color="auto"/>
      </w:divBdr>
    </w:div>
    <w:div w:id="1999646728">
      <w:bodyDiv w:val="1"/>
      <w:marLeft w:val="0"/>
      <w:marRight w:val="0"/>
      <w:marTop w:val="0"/>
      <w:marBottom w:val="0"/>
      <w:divBdr>
        <w:top w:val="none" w:sz="0" w:space="0" w:color="auto"/>
        <w:left w:val="none" w:sz="0" w:space="0" w:color="auto"/>
        <w:bottom w:val="none" w:sz="0" w:space="0" w:color="auto"/>
        <w:right w:val="none" w:sz="0" w:space="0" w:color="auto"/>
      </w:divBdr>
      <w:divsChild>
        <w:div w:id="1304848998">
          <w:marLeft w:val="0"/>
          <w:marRight w:val="0"/>
          <w:marTop w:val="0"/>
          <w:marBottom w:val="0"/>
          <w:divBdr>
            <w:top w:val="none" w:sz="0" w:space="0" w:color="auto"/>
            <w:left w:val="none" w:sz="0" w:space="0" w:color="auto"/>
            <w:bottom w:val="none" w:sz="0" w:space="0" w:color="auto"/>
            <w:right w:val="none" w:sz="0" w:space="0" w:color="auto"/>
          </w:divBdr>
          <w:divsChild>
            <w:div w:id="1166549603">
              <w:marLeft w:val="0"/>
              <w:marRight w:val="0"/>
              <w:marTop w:val="0"/>
              <w:marBottom w:val="0"/>
              <w:divBdr>
                <w:top w:val="none" w:sz="0" w:space="0" w:color="auto"/>
                <w:left w:val="none" w:sz="0" w:space="0" w:color="auto"/>
                <w:bottom w:val="none" w:sz="0" w:space="0" w:color="auto"/>
                <w:right w:val="none" w:sz="0" w:space="0" w:color="auto"/>
              </w:divBdr>
              <w:divsChild>
                <w:div w:id="286401737">
                  <w:marLeft w:val="0"/>
                  <w:marRight w:val="0"/>
                  <w:marTop w:val="0"/>
                  <w:marBottom w:val="0"/>
                  <w:divBdr>
                    <w:top w:val="none" w:sz="0" w:space="0" w:color="auto"/>
                    <w:left w:val="none" w:sz="0" w:space="0" w:color="auto"/>
                    <w:bottom w:val="none" w:sz="0" w:space="0" w:color="auto"/>
                    <w:right w:val="none" w:sz="0" w:space="0" w:color="auto"/>
                  </w:divBdr>
                  <w:divsChild>
                    <w:div w:id="1488666849">
                      <w:marLeft w:val="0"/>
                      <w:marRight w:val="0"/>
                      <w:marTop w:val="0"/>
                      <w:marBottom w:val="0"/>
                      <w:divBdr>
                        <w:top w:val="none" w:sz="0" w:space="0" w:color="auto"/>
                        <w:left w:val="none" w:sz="0" w:space="0" w:color="auto"/>
                        <w:bottom w:val="none" w:sz="0" w:space="0" w:color="auto"/>
                        <w:right w:val="none" w:sz="0" w:space="0" w:color="auto"/>
                      </w:divBdr>
                      <w:divsChild>
                        <w:div w:id="172037251">
                          <w:marLeft w:val="0"/>
                          <w:marRight w:val="0"/>
                          <w:marTop w:val="0"/>
                          <w:marBottom w:val="0"/>
                          <w:divBdr>
                            <w:top w:val="none" w:sz="0" w:space="0" w:color="auto"/>
                            <w:left w:val="none" w:sz="0" w:space="0" w:color="auto"/>
                            <w:bottom w:val="none" w:sz="0" w:space="0" w:color="auto"/>
                            <w:right w:val="none" w:sz="0" w:space="0" w:color="auto"/>
                          </w:divBdr>
                          <w:divsChild>
                            <w:div w:id="35980849">
                              <w:marLeft w:val="0"/>
                              <w:marRight w:val="0"/>
                              <w:marTop w:val="0"/>
                              <w:marBottom w:val="0"/>
                              <w:divBdr>
                                <w:top w:val="none" w:sz="0" w:space="0" w:color="auto"/>
                                <w:left w:val="none" w:sz="0" w:space="0" w:color="auto"/>
                                <w:bottom w:val="none" w:sz="0" w:space="0" w:color="auto"/>
                                <w:right w:val="none" w:sz="0" w:space="0" w:color="auto"/>
                              </w:divBdr>
                              <w:divsChild>
                                <w:div w:id="1362052117">
                                  <w:marLeft w:val="0"/>
                                  <w:marRight w:val="0"/>
                                  <w:marTop w:val="0"/>
                                  <w:marBottom w:val="0"/>
                                  <w:divBdr>
                                    <w:top w:val="none" w:sz="0" w:space="0" w:color="auto"/>
                                    <w:left w:val="none" w:sz="0" w:space="0" w:color="auto"/>
                                    <w:bottom w:val="none" w:sz="0" w:space="0" w:color="auto"/>
                                    <w:right w:val="none" w:sz="0" w:space="0" w:color="auto"/>
                                  </w:divBdr>
                                  <w:divsChild>
                                    <w:div w:id="6276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06735">
                          <w:marLeft w:val="0"/>
                          <w:marRight w:val="0"/>
                          <w:marTop w:val="0"/>
                          <w:marBottom w:val="0"/>
                          <w:divBdr>
                            <w:top w:val="none" w:sz="0" w:space="0" w:color="auto"/>
                            <w:left w:val="none" w:sz="0" w:space="0" w:color="auto"/>
                            <w:bottom w:val="none" w:sz="0" w:space="0" w:color="auto"/>
                            <w:right w:val="none" w:sz="0" w:space="0" w:color="auto"/>
                          </w:divBdr>
                          <w:divsChild>
                            <w:div w:id="2004576927">
                              <w:marLeft w:val="0"/>
                              <w:marRight w:val="0"/>
                              <w:marTop w:val="0"/>
                              <w:marBottom w:val="0"/>
                              <w:divBdr>
                                <w:top w:val="none" w:sz="0" w:space="0" w:color="auto"/>
                                <w:left w:val="none" w:sz="0" w:space="0" w:color="auto"/>
                                <w:bottom w:val="none" w:sz="0" w:space="0" w:color="auto"/>
                                <w:right w:val="none" w:sz="0" w:space="0" w:color="auto"/>
                              </w:divBdr>
                              <w:divsChild>
                                <w:div w:id="714043439">
                                  <w:marLeft w:val="0"/>
                                  <w:marRight w:val="0"/>
                                  <w:marTop w:val="0"/>
                                  <w:marBottom w:val="0"/>
                                  <w:divBdr>
                                    <w:top w:val="none" w:sz="0" w:space="0" w:color="auto"/>
                                    <w:left w:val="none" w:sz="0" w:space="0" w:color="auto"/>
                                    <w:bottom w:val="none" w:sz="0" w:space="0" w:color="auto"/>
                                    <w:right w:val="none" w:sz="0" w:space="0" w:color="auto"/>
                                  </w:divBdr>
                                  <w:divsChild>
                                    <w:div w:id="1625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10939">
          <w:marLeft w:val="0"/>
          <w:marRight w:val="0"/>
          <w:marTop w:val="0"/>
          <w:marBottom w:val="0"/>
          <w:divBdr>
            <w:top w:val="none" w:sz="0" w:space="0" w:color="auto"/>
            <w:left w:val="none" w:sz="0" w:space="0" w:color="auto"/>
            <w:bottom w:val="none" w:sz="0" w:space="0" w:color="auto"/>
            <w:right w:val="none" w:sz="0" w:space="0" w:color="auto"/>
          </w:divBdr>
          <w:divsChild>
            <w:div w:id="1211577243">
              <w:marLeft w:val="0"/>
              <w:marRight w:val="0"/>
              <w:marTop w:val="0"/>
              <w:marBottom w:val="0"/>
              <w:divBdr>
                <w:top w:val="none" w:sz="0" w:space="0" w:color="auto"/>
                <w:left w:val="none" w:sz="0" w:space="0" w:color="auto"/>
                <w:bottom w:val="none" w:sz="0" w:space="0" w:color="auto"/>
                <w:right w:val="none" w:sz="0" w:space="0" w:color="auto"/>
              </w:divBdr>
              <w:divsChild>
                <w:div w:id="506480453">
                  <w:marLeft w:val="0"/>
                  <w:marRight w:val="0"/>
                  <w:marTop w:val="0"/>
                  <w:marBottom w:val="0"/>
                  <w:divBdr>
                    <w:top w:val="none" w:sz="0" w:space="0" w:color="auto"/>
                    <w:left w:val="none" w:sz="0" w:space="0" w:color="auto"/>
                    <w:bottom w:val="none" w:sz="0" w:space="0" w:color="auto"/>
                    <w:right w:val="none" w:sz="0" w:space="0" w:color="auto"/>
                  </w:divBdr>
                  <w:divsChild>
                    <w:div w:id="1091971262">
                      <w:marLeft w:val="0"/>
                      <w:marRight w:val="0"/>
                      <w:marTop w:val="0"/>
                      <w:marBottom w:val="0"/>
                      <w:divBdr>
                        <w:top w:val="none" w:sz="0" w:space="0" w:color="auto"/>
                        <w:left w:val="none" w:sz="0" w:space="0" w:color="auto"/>
                        <w:bottom w:val="none" w:sz="0" w:space="0" w:color="auto"/>
                        <w:right w:val="none" w:sz="0" w:space="0" w:color="auto"/>
                      </w:divBdr>
                      <w:divsChild>
                        <w:div w:id="1501500195">
                          <w:marLeft w:val="0"/>
                          <w:marRight w:val="0"/>
                          <w:marTop w:val="0"/>
                          <w:marBottom w:val="0"/>
                          <w:divBdr>
                            <w:top w:val="none" w:sz="0" w:space="0" w:color="auto"/>
                            <w:left w:val="none" w:sz="0" w:space="0" w:color="auto"/>
                            <w:bottom w:val="none" w:sz="0" w:space="0" w:color="auto"/>
                            <w:right w:val="none" w:sz="0" w:space="0" w:color="auto"/>
                          </w:divBdr>
                          <w:divsChild>
                            <w:div w:id="388920534">
                              <w:marLeft w:val="0"/>
                              <w:marRight w:val="0"/>
                              <w:marTop w:val="0"/>
                              <w:marBottom w:val="0"/>
                              <w:divBdr>
                                <w:top w:val="none" w:sz="0" w:space="0" w:color="auto"/>
                                <w:left w:val="none" w:sz="0" w:space="0" w:color="auto"/>
                                <w:bottom w:val="none" w:sz="0" w:space="0" w:color="auto"/>
                                <w:right w:val="none" w:sz="0" w:space="0" w:color="auto"/>
                              </w:divBdr>
                              <w:divsChild>
                                <w:div w:id="922563795">
                                  <w:marLeft w:val="0"/>
                                  <w:marRight w:val="0"/>
                                  <w:marTop w:val="0"/>
                                  <w:marBottom w:val="0"/>
                                  <w:divBdr>
                                    <w:top w:val="none" w:sz="0" w:space="0" w:color="auto"/>
                                    <w:left w:val="none" w:sz="0" w:space="0" w:color="auto"/>
                                    <w:bottom w:val="none" w:sz="0" w:space="0" w:color="auto"/>
                                    <w:right w:val="none" w:sz="0" w:space="0" w:color="auto"/>
                                  </w:divBdr>
                                  <w:divsChild>
                                    <w:div w:id="919947557">
                                      <w:marLeft w:val="0"/>
                                      <w:marRight w:val="0"/>
                                      <w:marTop w:val="0"/>
                                      <w:marBottom w:val="0"/>
                                      <w:divBdr>
                                        <w:top w:val="none" w:sz="0" w:space="0" w:color="auto"/>
                                        <w:left w:val="none" w:sz="0" w:space="0" w:color="auto"/>
                                        <w:bottom w:val="none" w:sz="0" w:space="0" w:color="auto"/>
                                        <w:right w:val="none" w:sz="0" w:space="0" w:color="auto"/>
                                      </w:divBdr>
                                      <w:divsChild>
                                        <w:div w:id="18910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437167">
          <w:marLeft w:val="0"/>
          <w:marRight w:val="0"/>
          <w:marTop w:val="0"/>
          <w:marBottom w:val="0"/>
          <w:divBdr>
            <w:top w:val="none" w:sz="0" w:space="0" w:color="auto"/>
            <w:left w:val="none" w:sz="0" w:space="0" w:color="auto"/>
            <w:bottom w:val="none" w:sz="0" w:space="0" w:color="auto"/>
            <w:right w:val="none" w:sz="0" w:space="0" w:color="auto"/>
          </w:divBdr>
          <w:divsChild>
            <w:div w:id="617376225">
              <w:marLeft w:val="0"/>
              <w:marRight w:val="0"/>
              <w:marTop w:val="0"/>
              <w:marBottom w:val="0"/>
              <w:divBdr>
                <w:top w:val="none" w:sz="0" w:space="0" w:color="auto"/>
                <w:left w:val="none" w:sz="0" w:space="0" w:color="auto"/>
                <w:bottom w:val="none" w:sz="0" w:space="0" w:color="auto"/>
                <w:right w:val="none" w:sz="0" w:space="0" w:color="auto"/>
              </w:divBdr>
              <w:divsChild>
                <w:div w:id="888342407">
                  <w:marLeft w:val="0"/>
                  <w:marRight w:val="0"/>
                  <w:marTop w:val="0"/>
                  <w:marBottom w:val="0"/>
                  <w:divBdr>
                    <w:top w:val="none" w:sz="0" w:space="0" w:color="auto"/>
                    <w:left w:val="none" w:sz="0" w:space="0" w:color="auto"/>
                    <w:bottom w:val="none" w:sz="0" w:space="0" w:color="auto"/>
                    <w:right w:val="none" w:sz="0" w:space="0" w:color="auto"/>
                  </w:divBdr>
                  <w:divsChild>
                    <w:div w:id="558974709">
                      <w:marLeft w:val="0"/>
                      <w:marRight w:val="0"/>
                      <w:marTop w:val="0"/>
                      <w:marBottom w:val="0"/>
                      <w:divBdr>
                        <w:top w:val="none" w:sz="0" w:space="0" w:color="auto"/>
                        <w:left w:val="none" w:sz="0" w:space="0" w:color="auto"/>
                        <w:bottom w:val="none" w:sz="0" w:space="0" w:color="auto"/>
                        <w:right w:val="none" w:sz="0" w:space="0" w:color="auto"/>
                      </w:divBdr>
                      <w:divsChild>
                        <w:div w:id="518786386">
                          <w:marLeft w:val="0"/>
                          <w:marRight w:val="0"/>
                          <w:marTop w:val="0"/>
                          <w:marBottom w:val="0"/>
                          <w:divBdr>
                            <w:top w:val="none" w:sz="0" w:space="0" w:color="auto"/>
                            <w:left w:val="none" w:sz="0" w:space="0" w:color="auto"/>
                            <w:bottom w:val="none" w:sz="0" w:space="0" w:color="auto"/>
                            <w:right w:val="none" w:sz="0" w:space="0" w:color="auto"/>
                          </w:divBdr>
                          <w:divsChild>
                            <w:div w:id="704598439">
                              <w:marLeft w:val="0"/>
                              <w:marRight w:val="0"/>
                              <w:marTop w:val="0"/>
                              <w:marBottom w:val="0"/>
                              <w:divBdr>
                                <w:top w:val="none" w:sz="0" w:space="0" w:color="auto"/>
                                <w:left w:val="none" w:sz="0" w:space="0" w:color="auto"/>
                                <w:bottom w:val="none" w:sz="0" w:space="0" w:color="auto"/>
                                <w:right w:val="none" w:sz="0" w:space="0" w:color="auto"/>
                              </w:divBdr>
                              <w:divsChild>
                                <w:div w:id="19117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18264">
                  <w:marLeft w:val="0"/>
                  <w:marRight w:val="0"/>
                  <w:marTop w:val="0"/>
                  <w:marBottom w:val="0"/>
                  <w:divBdr>
                    <w:top w:val="none" w:sz="0" w:space="0" w:color="auto"/>
                    <w:left w:val="none" w:sz="0" w:space="0" w:color="auto"/>
                    <w:bottom w:val="none" w:sz="0" w:space="0" w:color="auto"/>
                    <w:right w:val="none" w:sz="0" w:space="0" w:color="auto"/>
                  </w:divBdr>
                  <w:divsChild>
                    <w:div w:id="1007823820">
                      <w:marLeft w:val="0"/>
                      <w:marRight w:val="0"/>
                      <w:marTop w:val="0"/>
                      <w:marBottom w:val="0"/>
                      <w:divBdr>
                        <w:top w:val="none" w:sz="0" w:space="0" w:color="auto"/>
                        <w:left w:val="none" w:sz="0" w:space="0" w:color="auto"/>
                        <w:bottom w:val="none" w:sz="0" w:space="0" w:color="auto"/>
                        <w:right w:val="none" w:sz="0" w:space="0" w:color="auto"/>
                      </w:divBdr>
                      <w:divsChild>
                        <w:div w:id="539392460">
                          <w:marLeft w:val="0"/>
                          <w:marRight w:val="0"/>
                          <w:marTop w:val="0"/>
                          <w:marBottom w:val="0"/>
                          <w:divBdr>
                            <w:top w:val="none" w:sz="0" w:space="0" w:color="auto"/>
                            <w:left w:val="none" w:sz="0" w:space="0" w:color="auto"/>
                            <w:bottom w:val="none" w:sz="0" w:space="0" w:color="auto"/>
                            <w:right w:val="none" w:sz="0" w:space="0" w:color="auto"/>
                          </w:divBdr>
                          <w:divsChild>
                            <w:div w:id="373047792">
                              <w:marLeft w:val="0"/>
                              <w:marRight w:val="0"/>
                              <w:marTop w:val="0"/>
                              <w:marBottom w:val="0"/>
                              <w:divBdr>
                                <w:top w:val="none" w:sz="0" w:space="0" w:color="auto"/>
                                <w:left w:val="none" w:sz="0" w:space="0" w:color="auto"/>
                                <w:bottom w:val="none" w:sz="0" w:space="0" w:color="auto"/>
                                <w:right w:val="none" w:sz="0" w:space="0" w:color="auto"/>
                              </w:divBdr>
                              <w:divsChild>
                                <w:div w:id="282687834">
                                  <w:marLeft w:val="0"/>
                                  <w:marRight w:val="0"/>
                                  <w:marTop w:val="0"/>
                                  <w:marBottom w:val="0"/>
                                  <w:divBdr>
                                    <w:top w:val="none" w:sz="0" w:space="0" w:color="auto"/>
                                    <w:left w:val="none" w:sz="0" w:space="0" w:color="auto"/>
                                    <w:bottom w:val="none" w:sz="0" w:space="0" w:color="auto"/>
                                    <w:right w:val="none" w:sz="0" w:space="0" w:color="auto"/>
                                  </w:divBdr>
                                  <w:divsChild>
                                    <w:div w:id="15898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dpi.com/2071-1050/14/3/1429" TargetMode="External"/><Relationship Id="rId21" Type="http://schemas.openxmlformats.org/officeDocument/2006/relationships/hyperlink" Target="https://www.deseco.ch/" TargetMode="External"/><Relationship Id="rId42" Type="http://schemas.openxmlformats.org/officeDocument/2006/relationships/hyperlink" Target="https://pubmed.ncbi.nlm.nih.gov/14736316/" TargetMode="External"/><Relationship Id="rId47" Type="http://schemas.openxmlformats.org/officeDocument/2006/relationships/hyperlink" Target="https://profedu.com.ua/en/journals/vipusk-16/pedagogichni-umovi-pidgotovki-maybutnikh-uchiteliv-geografiyi-do-bezperervnogo-profesiynogo-rozvitku" TargetMode="External"/><Relationship Id="rId63" Type="http://schemas.openxmlformats.org/officeDocument/2006/relationships/hyperlink" Target="https://bscs.org/reports/the-bscs-5e-instructional-model-origins-and-effectiveness/" TargetMode="External"/><Relationship Id="rId68" Type="http://schemas.openxmlformats.org/officeDocument/2006/relationships/hyperlink" Target="https://www.australiancurriculum.edu.au/curriculum-information/understand-this-learning-area/humanities-and-social-sciences" TargetMode="External"/><Relationship Id="rId84" Type="http://schemas.openxmlformats.org/officeDocument/2006/relationships/hyperlink" Target="https://lib.iitta.gov.ua/id/eprint/712571/1/%D0%9A%D0%BE%D0%BD%D1%86%D0%B5%D0%BF%D1%86%D1%96%D1%8F%20%D0%B3%D0%B5%D0%BE%D0%B3%D1%80%D0%B0%D1%84%D1%96%D1%87%D0%BD%D0%BE%D1%97%20%D0%BE%D1%81%D0%B2%D1%96%D1%82%D0%B8.pdf" TargetMode="External"/><Relationship Id="rId89" Type="http://schemas.openxmlformats.org/officeDocument/2006/relationships/hyperlink" Target="https://lib.iitta.gov.ua/id/eprint/713962/1/ukrpj_2016_3_11.pdf" TargetMode="External"/><Relationship Id="rId16" Type="http://schemas.openxmlformats.org/officeDocument/2006/relationships/hyperlink" Target="https://assess.ucr.edu/sites/default/files/2019-02/blackwiliam_1998.pdf" TargetMode="External"/><Relationship Id="rId107" Type="http://schemas.openxmlformats.org/officeDocument/2006/relationships/hyperlink" Target="https://lib.iitta.gov.ua/id/eprint/741323/1/CZU%2037.022%28470%29_%D0%AF%D1%86%D0%B5%D0%BD%D0%BA%D0%BE_%D0%92%D0%A1_%D0%94%D0%BE%D1%81%D0%BB%D1%96%D0%B4%D0%B6%D0%B5%D0%BD%D0%BD%D1%8F%20%D1%8F%D0%BA%20%D0%BC%D0%B5%D1%82%D0%BE%D0%B4.pdf" TargetMode="External"/><Relationship Id="rId11" Type="http://schemas.openxmlformats.org/officeDocument/2006/relationships/hyperlink" Target="https://www.igu-cge.org/publications/2016-charter/" TargetMode="External"/><Relationship Id="rId32" Type="http://schemas.openxmlformats.org/officeDocument/2006/relationships/hyperlink" Target="https://www.tandfonline.com/doi/full/10.1080/00461520701263368" TargetMode="External"/><Relationship Id="rId37" Type="http://schemas.openxmlformats.org/officeDocument/2006/relationships/hyperlink" Target="https://www.tandfonline.com/doi/abs/10.1207/s15326985ep4102_1" TargetMode="External"/><Relationship Id="rId53" Type="http://schemas.openxmlformats.org/officeDocument/2006/relationships/hyperlink" Target="https://www.gov.uk/government/publications/research-review-series-geography/research-review-series-geography" TargetMode="External"/><Relationship Id="rId58" Type="http://schemas.openxmlformats.org/officeDocument/2006/relationships/hyperlink" Target="https://czasopisma.marszalek.com.pl/uploads/periodicals/tner/2025/tner8207.pdf" TargetMode="External"/><Relationship Id="rId74" Type="http://schemas.openxmlformats.org/officeDocument/2006/relationships/hyperlink" Target="https://lib.iitta.gov.ua/id/eprint/4453/1/Verbytskyi_11.pdf" TargetMode="External"/><Relationship Id="rId79" Type="http://schemas.openxmlformats.org/officeDocument/2006/relationships/hyperlink" Target="https://lib.iitta.gov.ua/id/eprint/3189/1/%D0%9E%D1%80%D0%B3%D0%B0%D0%BD%D1%96%D0%B7%D0%B0%D1%86%D1%96%D1%8F_%D0%BD%D0%B0%D0%B2%D1%87%D0%B0%D0%BB%D1%8C%D0%BD%D0%BE%D1%97_%D0%B4%D0%BE%D1%81%D0%BB%D1%96%D0%B4%D0%BD%D0%B8%D1%86%D1%8C%D0%BA%D0%BE%D1%97_%D0%B4%D1%96%D1%8F%D0%BB%D1%8C%D0%BD%D0%BE%D1%81%D1%82%D1%96.pdf" TargetMode="External"/><Relationship Id="rId102" Type="http://schemas.openxmlformats.org/officeDocument/2006/relationships/hyperlink" Target="https://lib.iitta.gov.ua/id/eprint/734404/1/%D0%94%D0%BE%D1%81%D0%BB%D1%96%D0%B4%D0%BD%D0%B8%D1%86%D1%8C%D0%BA%D0%B0%20%D0%BA%D0%BE%D0%BC%D0%BF%D0%B5%D1%82%D0%B5%D0%BD%D1%82%D0%BD%D1%96%D1%81%D1%82%D1%8C%20%D1%83%D1%87%D0%B8%D1%82%D0%B5%D0%BB%D1%8F.%20%D0%A1%D0%B5%D1%80%D0%B4%D1%8E%D0%BA%20%D0%93.%D0%90..pdf" TargetMode="External"/><Relationship Id="rId5" Type="http://schemas.openxmlformats.org/officeDocument/2006/relationships/footnotes" Target="footnotes.xml"/><Relationship Id="rId90" Type="http://schemas.openxmlformats.org/officeDocument/2006/relationships/hyperlink" Target="https://lib.iitta.gov.ua/id/eprint/9886/1/Nazarenko_%D0%BC%D0%BE%D0%BD%D0%BE%D0%B3%D1%80%D0%B0%D1%84%D1%96%D1%8F.%D0%9C%D0%B5%D1%82%D0%BE%D0%B4%D0%B8%D0%BA%D0%B0_%D0%BD%D0%B0%D0%B2%D1%87%D0%B0%D0%BD%D0%BD%D1%8F_%D0%B3%D0%B5%D0%BE%D0%B3%D1%80%D0%B0%D1%84%D1%96%D1%97_%D0%B2_%D0%BF%D1%80%D0%BE%D1%84%D1%96%D0%BB%D1%8C%D0%BD%D1%96%D0%B9_%D1%88%D0%BA%D0%BE%D0%BB%D1%96.pdf" TargetMode="External"/><Relationship Id="rId95" Type="http://schemas.openxmlformats.org/officeDocument/2006/relationships/hyperlink" Target="https://zakon.rada.gov.ua/rada/show/v1120729-24" TargetMode="External"/><Relationship Id="rId22" Type="http://schemas.openxmlformats.org/officeDocument/2006/relationships/hyperlink" Target="https://www.mdpi.com/2220-9964/7/3/111" TargetMode="External"/><Relationship Id="rId27" Type="http://schemas.openxmlformats.org/officeDocument/2006/relationships/hyperlink" Target="https://www.colorado.edu/geography/geographic-inquiry-global-issues-gigi" TargetMode="External"/><Relationship Id="rId43" Type="http://schemas.openxmlformats.org/officeDocument/2006/relationships/hyperlink" Target="https://www.oph.fi/en/education-and-qualifications/multiliteracy-and-media-literacy" TargetMode="External"/><Relationship Id="rId48" Type="http://schemas.openxmlformats.org/officeDocument/2006/relationships/hyperlink" Target="https://www.unesco.org/en/open-educational-resources" TargetMode="External"/><Relationship Id="rId64" Type="http://schemas.openxmlformats.org/officeDocument/2006/relationships/hyperlink" Target="https://geography.org.uk/ite/initial-teacher-education/geography-support-for-trainees-and-ects/learning-to-teach-secondary-geography/geography-subject-teaching-and-curriculum/geography-knowledge-concepts-and-skills/geographical-practice/fieldwork-2/fieldwork/" TargetMode="External"/><Relationship Id="rId69" Type="http://schemas.openxmlformats.org/officeDocument/2006/relationships/hyperlink" Target="https://www.geocapabilities.org/geocapabilities-3/geocapabilities/" TargetMode="External"/><Relationship Id="rId80" Type="http://schemas.openxmlformats.org/officeDocument/2006/relationships/hyperlink" Target="https://mon.gov.ua/static-objects/mon/sites/1/zagalna%20serednya/Navchalni.prohramy/2025/modelna-programa-geografiia-6-9-klasi.pdf" TargetMode="External"/><Relationship Id="rId85" Type="http://schemas.openxmlformats.org/officeDocument/2006/relationships/hyperlink" Target="https://lib.iitta.gov.ua/id/eprint/6543/1/Merzlykin_Paper_Kam-Pod_2014.pdf" TargetMode="External"/><Relationship Id="rId12" Type="http://schemas.openxmlformats.org/officeDocument/2006/relationships/hyperlink" Target="https://link.springer.com/book/10.1007/978-3-030-95139-9" TargetMode="External"/><Relationship Id="rId17" Type="http://schemas.openxmlformats.org/officeDocument/2006/relationships/hyperlink" Target="https://www.researchgate.net/publication/281412517_The_BSCS_5E_instructional_model_Origins_and_effectiveness" TargetMode="External"/><Relationship Id="rId33" Type="http://schemas.openxmlformats.org/officeDocument/2006/relationships/hyperlink" Target="https://www.gutenberg.org/ebooks/37423" TargetMode="External"/><Relationship Id="rId38" Type="http://schemas.openxmlformats.org/officeDocument/2006/relationships/hyperlink" Target="https://www.mdpi.com/2227-7102/13/11/1128" TargetMode="External"/><Relationship Id="rId59" Type="http://schemas.openxmlformats.org/officeDocument/2006/relationships/hyperlink" Target="https://www.tandfonline.com/doi/full/10.1080/10382046.2018.1493896" TargetMode="External"/><Relationship Id="rId103" Type="http://schemas.openxmlformats.org/officeDocument/2006/relationships/hyperlink" Target="https://znayshov.com/FR/20378/Pedag_visnik_Podill_2_2023-25-29.pdf" TargetMode="External"/><Relationship Id="rId108" Type="http://schemas.openxmlformats.org/officeDocument/2006/relationships/footer" Target="footer1.xml"/><Relationship Id="rId54" Type="http://schemas.openxmlformats.org/officeDocument/2006/relationships/hyperlink" Target="https://www.field-studies-council.org/resources/16-18-geography/route-to-enquiry/" TargetMode="External"/><Relationship Id="rId70" Type="http://schemas.openxmlformats.org/officeDocument/2006/relationships/hyperlink" Target="https://geography.org.uk/ite/initial-teacher-education/geography-support-for-trainees-and-ects/learning-to-teach-secondary-geography/geography-subject-teaching-and-curriculum/geography-knowledge-concepts-and-skills/geographical-practice/geographical-enquiry-2/what-is-geographical-enquiry/" TargetMode="External"/><Relationship Id="rId75" Type="http://schemas.openxmlformats.org/officeDocument/2006/relationships/hyperlink" Target="https://gj.journal.kspu.edu/index.php/gj/article/download/198/192/" TargetMode="External"/><Relationship Id="rId91" Type="http://schemas.openxmlformats.org/officeDocument/2006/relationships/hyperlink" Target="https://uej.undip.org.ua/index.php/journal/article/view/614/575" TargetMode="External"/><Relationship Id="rId96" Type="http://schemas.openxmlformats.org/officeDocument/2006/relationships/hyperlink" Target="https://zakon.rada.gov.ua/rada/show/v0235729-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ndfonline.com/doi/full/10.1080/10382046.2020.1749756" TargetMode="External"/><Relationship Id="rId23" Type="http://schemas.openxmlformats.org/officeDocument/2006/relationships/hyperlink" Target="https://geography.org.uk/ite/initial-teacher-education/geography-support-for-trainees-and-ects/learning-to-teach-secondary-geography/geography-subject-teaching-and-curriculum/geographical-practice/fieldwork-2/fieldwork-through-enquiry/" TargetMode="External"/><Relationship Id="rId28" Type="http://schemas.openxmlformats.org/officeDocument/2006/relationships/hyperlink" Target="https://geography.org.uk/ite/geographical-enquiry/" TargetMode="External"/><Relationship Id="rId36" Type="http://schemas.openxmlformats.org/officeDocument/2006/relationships/hyperlink" Target="https://op.europa.eu/en/publication-detail/-/publication/297a33c8-a1f3-11e9-9d01-01aa75ed71a1" TargetMode="External"/><Relationship Id="rId49" Type="http://schemas.openxmlformats.org/officeDocument/2006/relationships/hyperlink" Target="https://link.springer.com/chapter/10.1007/978-3-030-14223-0_26" TargetMode="External"/><Relationship Id="rId57" Type="http://schemas.openxmlformats.org/officeDocument/2006/relationships/hyperlink" Target="https://www.tandfonline.com/doi/abs/10.1080/00221341.2018.1561740" TargetMode="External"/><Relationship Id="rId106" Type="http://schemas.openxmlformats.org/officeDocument/2006/relationships/hyperlink" Target="https://journals.udu.kyiv.ua/index.php/vou/article/view/129/100" TargetMode="External"/><Relationship Id="rId10" Type="http://schemas.openxmlformats.org/officeDocument/2006/relationships/hyperlink" Target="https://www.igu-cge.org/publications/1992-charter/" TargetMode="External"/><Relationship Id="rId31" Type="http://schemas.openxmlformats.org/officeDocument/2006/relationships/hyperlink" Target="https://academic.oup.com/maghis/article-abstract/7/3/73/940718" TargetMode="External"/><Relationship Id="rId44" Type="http://schemas.openxmlformats.org/officeDocument/2006/relationships/hyperlink" Target="https://www.oph.fi/en/education-and-qualifications/national-core-curriculum-primary-and-lower-secondary-basic-education" TargetMode="External"/><Relationship Id="rId52" Type="http://schemas.openxmlformats.org/officeDocument/2006/relationships/hyperlink" Target="https://testportal.gov.ua/pisa-2022-rezultaty-oprylyudneno/" TargetMode="External"/><Relationship Id="rId60" Type="http://schemas.openxmlformats.org/officeDocument/2006/relationships/hyperlink" Target="https://www.tandfonline.com/doi/full/10.1080/10382046.2017.1272849" TargetMode="External"/><Relationship Id="rId65" Type="http://schemas.openxmlformats.org/officeDocument/2006/relationships/hyperlink" Target="https://www.oecd.org/en/publications/the-oecd-handbook-for-innovative-learning-environments_9789264277274-en.html" TargetMode="External"/><Relationship Id="rId73" Type="http://schemas.openxmlformats.org/officeDocument/2006/relationships/hyperlink" Target="https://lib.iitta.gov.ua/id/eprint/719930/1/VHO%202020%2004%2007.pdf" TargetMode="External"/><Relationship Id="rId78" Type="http://schemas.openxmlformats.org/officeDocument/2006/relationships/hyperlink" Target="https://osvita.ua/legislation/Ser_osv/76886/" TargetMode="External"/><Relationship Id="rId81" Type="http://schemas.openxmlformats.org/officeDocument/2006/relationships/hyperlink" Target="https://lib.iitta.gov.ua/id/eprint/729967/3/monografiya_integrachia.pdf" TargetMode="External"/><Relationship Id="rId86" Type="http://schemas.openxmlformats.org/officeDocument/2006/relationships/hyperlink" Target="https://lib.iitta.gov.ua/id/eprint/6544/1/Merzlykin_Thesys_Kam-Pod_2014.pdf" TargetMode="External"/><Relationship Id="rId94" Type="http://schemas.openxmlformats.org/officeDocument/2006/relationships/hyperlink" Target="https://ips.ligazakon.net/document/KP200898" TargetMode="External"/><Relationship Id="rId99" Type="http://schemas.openxmlformats.org/officeDocument/2006/relationships/hyperlink" Target="https://www.socialstudies.org/sites/default/files/c3/C3-Framework-for-Social-Studies.pdf" TargetMode="External"/><Relationship Id="rId101" Type="http://schemas.openxmlformats.org/officeDocument/2006/relationships/hyperlink" Target="https://ps.journal.kspu.edu/index.php/ps/article/view/3313/2952" TargetMode="External"/><Relationship Id="rId4" Type="http://schemas.openxmlformats.org/officeDocument/2006/relationships/webSettings" Target="webSettings.xml"/><Relationship Id="rId9" Type="http://schemas.openxmlformats.org/officeDocument/2006/relationships/chart" Target="charts/chart2.xml"/><Relationship Id="rId13" Type="http://schemas.openxmlformats.org/officeDocument/2006/relationships/hyperlink" Target="https://www.frontiersin.org/journals/education/articles/10.3389/feduc.2021.693221/full" TargetMode="External"/><Relationship Id="rId18" Type="http://schemas.openxmlformats.org/officeDocument/2006/relationships/hyperlink" Target="https://eric.ed.gov/?id=EJ203847" TargetMode="External"/><Relationship Id="rId39" Type="http://schemas.openxmlformats.org/officeDocument/2006/relationships/hyperlink" Target="https://www.tandfonline.com/doi/full/10.1080/10382046.2024.2348274" TargetMode="External"/><Relationship Id="rId109" Type="http://schemas.openxmlformats.org/officeDocument/2006/relationships/fontTable" Target="fontTable.xml"/><Relationship Id="rId34" Type="http://schemas.openxmlformats.org/officeDocument/2006/relationships/hyperlink" Target="https://terra.journal.fi/article/view/120326" TargetMode="External"/><Relationship Id="rId50" Type="http://schemas.openxmlformats.org/officeDocument/2006/relationships/hyperlink" Target="https://www.sciencedirect.com/science/article/pii/S1747938X15000068" TargetMode="External"/><Relationship Id="rId55" Type="http://schemas.openxmlformats.org/officeDocument/2006/relationships/hyperlink" Target="https://www.nature.com/articles/116277d0" TargetMode="External"/><Relationship Id="rId76" Type="http://schemas.openxmlformats.org/officeDocument/2006/relationships/hyperlink" Target="https://gj.journal.kspu.edu/index.php/gj/article/view/198/192" TargetMode="External"/><Relationship Id="rId97" Type="http://schemas.openxmlformats.org/officeDocument/2006/relationships/hyperlink" Target="https://zakon.rada.gov.ua/go/2145-19" TargetMode="External"/><Relationship Id="rId104" Type="http://schemas.openxmlformats.org/officeDocument/2006/relationships/hyperlink" Target="https://upepnpu.pnpu.edu.ua/article/view/201323/201281" TargetMode="External"/><Relationship Id="rId7" Type="http://schemas.openxmlformats.org/officeDocument/2006/relationships/image" Target="media/image1.jpeg"/><Relationship Id="rId71" Type="http://schemas.openxmlformats.org/officeDocument/2006/relationships/hyperlink" Target="https://www.tandfonline.com/doi/abs/10.1080/02188797808548515" TargetMode="External"/><Relationship Id="rId92" Type="http://schemas.openxmlformats.org/officeDocument/2006/relationships/hyperlink" Target="https://lib.iitta.gov.ua/id/eprint/107027/1/%D0%A1%D1%82%D0%B0%D1%82%D1%82%D1%8F_2013_%D0%9D%D0%B0%D1%83%D0%BC%D0%B5%D0%BD%D0%BA%D0%BE.pdf" TargetMode="External"/><Relationship Id="rId2" Type="http://schemas.openxmlformats.org/officeDocument/2006/relationships/styles" Target="styles.xml"/><Relationship Id="rId29" Type="http://schemas.openxmlformats.org/officeDocument/2006/relationships/hyperlink" Target="https://eric.ed.gov/?id=EJ422071" TargetMode="External"/><Relationship Id="rId24" Type="http://schemas.openxmlformats.org/officeDocument/2006/relationships/hyperlink" Target="https://geography.org.uk/ite/initial-teacher-education/geography-support-for-trainees-and-ects/learning-to-teach-secondary-geography/assessment-in-geography/formative-assessment/" TargetMode="External"/><Relationship Id="rId40" Type="http://schemas.openxmlformats.org/officeDocument/2006/relationships/hyperlink" Target="https://eric.ed.gov/?id=EJ1322783" TargetMode="External"/><Relationship Id="rId45" Type="http://schemas.openxmlformats.org/officeDocument/2006/relationships/hyperlink" Target="https://www.gov.uk/government/publications/national-curriculum-in-england-geography-programmes-of-study/national-curriculum-in-england-geography-programmes-of-study" TargetMode="External"/><Relationship Id="rId66" Type="http://schemas.openxmlformats.org/officeDocument/2006/relationships/hyperlink" Target="https://geography.org.uk/wp-content/uploads/2023/05/GA_ITE_SFT_Route_for_enquiry.pdf" TargetMode="External"/><Relationship Id="rId87" Type="http://schemas.openxmlformats.org/officeDocument/2006/relationships/hyperlink" Target="https://osvita.ua/doc/files/news/863/86384/Geografiya_6-9_kl_Zapotockij_S_P__ta_in_.pdf" TargetMode="External"/><Relationship Id="rId110" Type="http://schemas.openxmlformats.org/officeDocument/2006/relationships/theme" Target="theme/theme1.xml"/><Relationship Id="rId61" Type="http://schemas.openxmlformats.org/officeDocument/2006/relationships/hyperlink" Target="https://www.oecd.org/content/dam/oecd/en/about/projects/edu/education-2040/concept-notes/Student_Agency_for_2030_concept_note.pdf" TargetMode="External"/><Relationship Id="rId82" Type="http://schemas.openxmlformats.org/officeDocument/2006/relationships/hyperlink" Target="https://lib.iitta.gov.ua/id/eprint/4423/" TargetMode="External"/><Relationship Id="rId19" Type="http://schemas.openxmlformats.org/officeDocument/2006/relationships/hyperlink" Target="https://op.europa.eu/en/publication-detail/-/publication/6fda126a-67c9-11e8-ab9c-01aa75ed71a1" TargetMode="External"/><Relationship Id="rId14" Type="http://schemas.openxmlformats.org/officeDocument/2006/relationships/hyperlink" Target="https://www.researchgate.net/publication/228665515_Simplifying_inquiry_instruction" TargetMode="External"/><Relationship Id="rId30" Type="http://schemas.openxmlformats.org/officeDocument/2006/relationships/hyperlink" Target="https://link.springer.com/book/10.1007/978-94-017-1552-2" TargetMode="External"/><Relationship Id="rId35" Type="http://schemas.openxmlformats.org/officeDocument/2006/relationships/hyperlink" Target="https://www.nationalacademies.org/read/9596/chapter/1" TargetMode="External"/><Relationship Id="rId56" Type="http://schemas.openxmlformats.org/officeDocument/2006/relationships/hyperlink" Target="https://www.tandfonline.com/doi/full/10.1080/03098265.2015.1048506" TargetMode="External"/><Relationship Id="rId77" Type="http://schemas.openxmlformats.org/officeDocument/2006/relationships/hyperlink" Target="https://mon.gov.ua/osvita-2/zagalna-serednya-osvita/nova-ukrainska-shkola-2/derzhavniy-standart-bazovoi-serednoi-osviti" TargetMode="External"/><Relationship Id="rId100" Type="http://schemas.openxmlformats.org/officeDocument/2006/relationships/hyperlink" Target="https://geo.knu.ua/wp-content/uploads/2021/06/samoylenko_tupuzov.pdf" TargetMode="External"/><Relationship Id="rId105" Type="http://schemas.openxmlformats.org/officeDocument/2006/relationships/hyperlink" Target="https://pedagogical-academy.com/index.php/journal/article/view/793/683" TargetMode="External"/><Relationship Id="rId8" Type="http://schemas.openxmlformats.org/officeDocument/2006/relationships/chart" Target="charts/chart1.xml"/><Relationship Id="rId51" Type="http://schemas.openxmlformats.org/officeDocument/2006/relationships/hyperlink" Target="https://oulurepo.oulu.fi/handle/10024/49037" TargetMode="External"/><Relationship Id="rId72" Type="http://schemas.openxmlformats.org/officeDocument/2006/relationships/hyperlink" Target="https://sqe.gov.ua/bezpechne-osvitnie-seredovishhe-novi-vim/" TargetMode="External"/><Relationship Id="rId93" Type="http://schemas.openxmlformats.org/officeDocument/2006/relationships/hyperlink" Target="https://paperity.org/p/292165932/riven-volodinnia-geografichnoiu-kompetentnistiu-ta-yiyi-skladovimi-v-uchniv-osnovnoyi-ta" TargetMode="External"/><Relationship Id="rId98" Type="http://schemas.openxmlformats.org/officeDocument/2006/relationships/hyperlink" Target="https://zakon.rada.gov.ua/go/463-20" TargetMode="External"/><Relationship Id="rId3" Type="http://schemas.openxmlformats.org/officeDocument/2006/relationships/settings" Target="settings.xml"/><Relationship Id="rId25" Type="http://schemas.openxmlformats.org/officeDocument/2006/relationships/hyperlink" Target="https://www.oecd.org/en/about/projects/future-of-education-and-skills-2030.html" TargetMode="External"/><Relationship Id="rId46" Type="http://schemas.openxmlformats.org/officeDocument/2006/relationships/hyperlink" Target="https://education.nationalgeographic.org/resource/national-geography-standards-index/" TargetMode="External"/><Relationship Id="rId67" Type="http://schemas.openxmlformats.org/officeDocument/2006/relationships/hyperlink" Target="https://files.eric.ed.gov/fulltext/EJ1293788.pdf" TargetMode="External"/><Relationship Id="rId20" Type="http://schemas.openxmlformats.org/officeDocument/2006/relationships/hyperlink" Target="https://education.ec.europa.eu/focus-topics/improving-quality/key-competences" TargetMode="External"/><Relationship Id="rId41" Type="http://schemas.openxmlformats.org/officeDocument/2006/relationships/hyperlink" Target="https://www.redalyc.org/journal/5528/552861694034/html/" TargetMode="External"/><Relationship Id="rId62" Type="http://schemas.openxmlformats.org/officeDocument/2006/relationships/hyperlink" Target="https://eurydice.iea.gov.ua/en/the-national-education-system-of-ukraine/6-secondary-education-or-upper-secondary-education-and-post-secondary-non-tertiary-education/6-2-teaching-and-learning/" TargetMode="External"/><Relationship Id="rId83" Type="http://schemas.openxmlformats.org/officeDocument/2006/relationships/hyperlink" Target="https://mon.gov.ua/static-objects/mon/uploads/public/66d/ffe/c4c/66dffec4c92d2958213439.pdf" TargetMode="External"/><Relationship Id="rId88" Type="http://schemas.openxmlformats.org/officeDocument/2006/relationships/hyperlink" Target="https://lib.iitta.gov.ua/id/eprint/1405/1/12-63.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30074365704289"/>
          <c:y val="0.1562357830271216"/>
          <c:w val="0.40154381743948664"/>
          <c:h val="0.68836082989626279"/>
        </c:manualLayout>
      </c:layout>
      <c:radarChart>
        <c:radarStyle val="marker"/>
        <c:varyColors val="0"/>
        <c:ser>
          <c:idx val="0"/>
          <c:order val="0"/>
          <c:tx>
            <c:strRef>
              <c:f>Аркуш1!$B$1</c:f>
              <c:strCache>
                <c:ptCount val="1"/>
                <c:pt idx="0">
                  <c:v>Ряд 1</c:v>
                </c:pt>
              </c:strCache>
            </c:strRef>
          </c:tx>
          <c:spPr>
            <a:ln w="28575" cap="rnd">
              <a:solidFill>
                <a:schemeClr val="accent1"/>
              </a:solidFill>
              <a:round/>
            </a:ln>
            <a:effectLst/>
          </c:spPr>
          <c:marker>
            <c:symbol val="none"/>
          </c:marker>
          <c:cat>
            <c:strRef>
              <c:f>Аркуш1!$A$2:$A$5</c:f>
              <c:strCache>
                <c:ptCount val="4"/>
                <c:pt idx="0">
                  <c:v>Мотиваційний критерій</c:v>
                </c:pt>
                <c:pt idx="1">
                  <c:v>Когнітивний критерій</c:v>
                </c:pt>
                <c:pt idx="2">
                  <c:v>Діяльнісний критерій</c:v>
                </c:pt>
                <c:pt idx="3">
                  <c:v>Рефлексивний критерій</c:v>
                </c:pt>
              </c:strCache>
            </c:strRef>
          </c:cat>
          <c:val>
            <c:numRef>
              <c:f>Аркуш1!$B$2:$B$5</c:f>
              <c:numCache>
                <c:formatCode>General</c:formatCode>
                <c:ptCount val="4"/>
                <c:pt idx="0">
                  <c:v>9</c:v>
                </c:pt>
                <c:pt idx="1">
                  <c:v>8</c:v>
                </c:pt>
                <c:pt idx="2">
                  <c:v>7</c:v>
                </c:pt>
                <c:pt idx="3">
                  <c:v>6</c:v>
                </c:pt>
              </c:numCache>
            </c:numRef>
          </c:val>
          <c:extLst>
            <c:ext xmlns:c16="http://schemas.microsoft.com/office/drawing/2014/chart" uri="{C3380CC4-5D6E-409C-BE32-E72D297353CC}">
              <c16:uniqueId val="{00000000-CDB1-434B-AE7E-27F272012BA8}"/>
            </c:ext>
          </c:extLst>
        </c:ser>
        <c:dLbls>
          <c:showLegendKey val="0"/>
          <c:showVal val="0"/>
          <c:showCatName val="0"/>
          <c:showSerName val="0"/>
          <c:showPercent val="0"/>
          <c:showBubbleSize val="0"/>
        </c:dLbls>
        <c:axId val="1102930223"/>
        <c:axId val="1102931887"/>
      </c:radarChart>
      <c:catAx>
        <c:axId val="1102930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02931887"/>
        <c:crosses val="autoZero"/>
        <c:auto val="1"/>
        <c:lblAlgn val="ctr"/>
        <c:lblOffset val="100"/>
        <c:noMultiLvlLbl val="0"/>
      </c:catAx>
      <c:valAx>
        <c:axId val="1102931887"/>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uk-UA"/>
          </a:p>
        </c:txPr>
        <c:crossAx val="1102930223"/>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Аркуш1!$B$1</c:f>
              <c:strCache>
                <c:ptCount val="1"/>
                <c:pt idx="0">
                  <c:v>Ряд 1</c:v>
                </c:pt>
              </c:strCache>
            </c:strRef>
          </c:tx>
          <c:spPr>
            <a:solidFill>
              <a:schemeClr val="accent1"/>
            </a:solidFill>
            <a:ln>
              <a:noFill/>
            </a:ln>
            <a:effectLst/>
            <a:sp3d/>
          </c:spPr>
          <c:invertIfNegative val="0"/>
          <c:dPt>
            <c:idx val="1"/>
            <c:invertIfNegative val="0"/>
            <c:bubble3D val="0"/>
            <c:spPr>
              <a:noFill/>
              <a:ln>
                <a:noFill/>
              </a:ln>
              <a:effectLst/>
              <a:sp3d/>
            </c:spPr>
            <c:extLst>
              <c:ext xmlns:c16="http://schemas.microsoft.com/office/drawing/2014/chart" uri="{C3380CC4-5D6E-409C-BE32-E72D297353CC}">
                <c16:uniqueId val="{00000001-F3BB-4032-AFF6-DC4FD1DBE70E}"/>
              </c:ext>
            </c:extLst>
          </c:dPt>
          <c:dPt>
            <c:idx val="2"/>
            <c:invertIfNegative val="0"/>
            <c:bubble3D val="0"/>
            <c:spPr>
              <a:noFill/>
              <a:ln>
                <a:noFill/>
              </a:ln>
              <a:effectLst/>
              <a:sp3d/>
            </c:spPr>
            <c:extLst>
              <c:ext xmlns:c16="http://schemas.microsoft.com/office/drawing/2014/chart" uri="{C3380CC4-5D6E-409C-BE32-E72D297353CC}">
                <c16:uniqueId val="{00000003-F3BB-4032-AFF6-DC4FD1DBE70E}"/>
              </c:ext>
            </c:extLst>
          </c:dPt>
          <c:dPt>
            <c:idx val="3"/>
            <c:invertIfNegative val="0"/>
            <c:bubble3D val="0"/>
            <c:spPr>
              <a:noFill/>
              <a:ln>
                <a:noFill/>
              </a:ln>
              <a:effectLst/>
              <a:sp3d/>
            </c:spPr>
            <c:extLst>
              <c:ext xmlns:c16="http://schemas.microsoft.com/office/drawing/2014/chart" uri="{C3380CC4-5D6E-409C-BE32-E72D297353CC}">
                <c16:uniqueId val="{00000005-F3BB-4032-AFF6-DC4FD1DBE70E}"/>
              </c:ext>
            </c:extLst>
          </c:dPt>
          <c:dLbls>
            <c:dLbl>
              <c:idx val="1"/>
              <c:delete val="1"/>
              <c:extLst>
                <c:ext xmlns:c15="http://schemas.microsoft.com/office/drawing/2012/chart" uri="{CE6537A1-D6FC-4f65-9D91-7224C49458BB}"/>
                <c:ext xmlns:c16="http://schemas.microsoft.com/office/drawing/2014/chart" uri="{C3380CC4-5D6E-409C-BE32-E72D297353CC}">
                  <c16:uniqueId val="{00000001-F3BB-4032-AFF6-DC4FD1DBE70E}"/>
                </c:ext>
              </c:extLst>
            </c:dLbl>
            <c:dLbl>
              <c:idx val="2"/>
              <c:delete val="1"/>
              <c:extLst>
                <c:ext xmlns:c15="http://schemas.microsoft.com/office/drawing/2012/chart" uri="{CE6537A1-D6FC-4f65-9D91-7224C49458BB}"/>
                <c:ext xmlns:c16="http://schemas.microsoft.com/office/drawing/2014/chart" uri="{C3380CC4-5D6E-409C-BE32-E72D297353CC}">
                  <c16:uniqueId val="{00000003-F3BB-4032-AFF6-DC4FD1DBE70E}"/>
                </c:ext>
              </c:extLst>
            </c:dLbl>
            <c:dLbl>
              <c:idx val="3"/>
              <c:delete val="1"/>
              <c:extLst>
                <c:ext xmlns:c15="http://schemas.microsoft.com/office/drawing/2012/chart" uri="{CE6537A1-D6FC-4f65-9D91-7224C49458BB}"/>
                <c:ext xmlns:c16="http://schemas.microsoft.com/office/drawing/2014/chart" uri="{C3380CC4-5D6E-409C-BE32-E72D297353CC}">
                  <c16:uniqueId val="{00000005-F3BB-4032-AFF6-DC4FD1DBE70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Початковий</c:v>
                </c:pt>
                <c:pt idx="1">
                  <c:v>Середній</c:v>
                </c:pt>
                <c:pt idx="2">
                  <c:v>Достатній</c:v>
                </c:pt>
                <c:pt idx="3">
                  <c:v>Високий</c:v>
                </c:pt>
              </c:strCache>
            </c:strRef>
          </c:cat>
          <c:val>
            <c:numRef>
              <c:f>Аркуш1!$B$2:$B$5</c:f>
              <c:numCache>
                <c:formatCode>General</c:formatCode>
                <c:ptCount val="4"/>
                <c:pt idx="0">
                  <c:v>12</c:v>
                </c:pt>
                <c:pt idx="1">
                  <c:v>12</c:v>
                </c:pt>
                <c:pt idx="2">
                  <c:v>12</c:v>
                </c:pt>
                <c:pt idx="3">
                  <c:v>12</c:v>
                </c:pt>
              </c:numCache>
            </c:numRef>
          </c:val>
          <c:extLst>
            <c:ext xmlns:c16="http://schemas.microsoft.com/office/drawing/2014/chart" uri="{C3380CC4-5D6E-409C-BE32-E72D297353CC}">
              <c16:uniqueId val="{00000006-F3BB-4032-AFF6-DC4FD1DBE70E}"/>
            </c:ext>
          </c:extLst>
        </c:ser>
        <c:ser>
          <c:idx val="1"/>
          <c:order val="1"/>
          <c:tx>
            <c:strRef>
              <c:f>Аркуш1!$C$1</c:f>
              <c:strCache>
                <c:ptCount val="1"/>
                <c:pt idx="0">
                  <c:v>Ряд 2</c:v>
                </c:pt>
              </c:strCache>
            </c:strRef>
          </c:tx>
          <c:spPr>
            <a:solidFill>
              <a:schemeClr val="accent2"/>
            </a:solidFill>
            <a:ln>
              <a:noFill/>
            </a:ln>
            <a:effectLst/>
            <a:sp3d/>
          </c:spPr>
          <c:invertIfNegative val="0"/>
          <c:dPt>
            <c:idx val="0"/>
            <c:invertIfNegative val="0"/>
            <c:bubble3D val="0"/>
            <c:spPr>
              <a:noFill/>
              <a:ln>
                <a:noFill/>
              </a:ln>
              <a:effectLst/>
              <a:sp3d/>
            </c:spPr>
            <c:extLst>
              <c:ext xmlns:c16="http://schemas.microsoft.com/office/drawing/2014/chart" uri="{C3380CC4-5D6E-409C-BE32-E72D297353CC}">
                <c16:uniqueId val="{00000008-F3BB-4032-AFF6-DC4FD1DBE70E}"/>
              </c:ext>
            </c:extLst>
          </c:dPt>
          <c:dPt>
            <c:idx val="2"/>
            <c:invertIfNegative val="0"/>
            <c:bubble3D val="0"/>
            <c:spPr>
              <a:noFill/>
              <a:ln>
                <a:noFill/>
              </a:ln>
              <a:effectLst/>
              <a:sp3d/>
            </c:spPr>
            <c:extLst>
              <c:ext xmlns:c16="http://schemas.microsoft.com/office/drawing/2014/chart" uri="{C3380CC4-5D6E-409C-BE32-E72D297353CC}">
                <c16:uniqueId val="{0000000A-F3BB-4032-AFF6-DC4FD1DBE70E}"/>
              </c:ext>
            </c:extLst>
          </c:dPt>
          <c:dPt>
            <c:idx val="3"/>
            <c:invertIfNegative val="0"/>
            <c:bubble3D val="0"/>
            <c:spPr>
              <a:noFill/>
              <a:ln>
                <a:noFill/>
              </a:ln>
              <a:effectLst/>
              <a:sp3d/>
            </c:spPr>
            <c:extLst>
              <c:ext xmlns:c16="http://schemas.microsoft.com/office/drawing/2014/chart" uri="{C3380CC4-5D6E-409C-BE32-E72D297353CC}">
                <c16:uniqueId val="{0000000C-F3BB-4032-AFF6-DC4FD1DBE70E}"/>
              </c:ext>
            </c:extLst>
          </c:dPt>
          <c:dLbls>
            <c:dLbl>
              <c:idx val="0"/>
              <c:delete val="1"/>
              <c:extLst>
                <c:ext xmlns:c15="http://schemas.microsoft.com/office/drawing/2012/chart" uri="{CE6537A1-D6FC-4f65-9D91-7224C49458BB}"/>
                <c:ext xmlns:c16="http://schemas.microsoft.com/office/drawing/2014/chart" uri="{C3380CC4-5D6E-409C-BE32-E72D297353CC}">
                  <c16:uniqueId val="{00000008-F3BB-4032-AFF6-DC4FD1DBE70E}"/>
                </c:ext>
              </c:extLst>
            </c:dLbl>
            <c:dLbl>
              <c:idx val="2"/>
              <c:delete val="1"/>
              <c:extLst>
                <c:ext xmlns:c15="http://schemas.microsoft.com/office/drawing/2012/chart" uri="{CE6537A1-D6FC-4f65-9D91-7224C49458BB}"/>
                <c:ext xmlns:c16="http://schemas.microsoft.com/office/drawing/2014/chart" uri="{C3380CC4-5D6E-409C-BE32-E72D297353CC}">
                  <c16:uniqueId val="{0000000A-F3BB-4032-AFF6-DC4FD1DBE70E}"/>
                </c:ext>
              </c:extLst>
            </c:dLbl>
            <c:dLbl>
              <c:idx val="3"/>
              <c:delete val="1"/>
              <c:extLst>
                <c:ext xmlns:c15="http://schemas.microsoft.com/office/drawing/2012/chart" uri="{CE6537A1-D6FC-4f65-9D91-7224C49458BB}"/>
                <c:ext xmlns:c16="http://schemas.microsoft.com/office/drawing/2014/chart" uri="{C3380CC4-5D6E-409C-BE32-E72D297353CC}">
                  <c16:uniqueId val="{0000000C-F3BB-4032-AFF6-DC4FD1DBE70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Початковий</c:v>
                </c:pt>
                <c:pt idx="1">
                  <c:v>Середній</c:v>
                </c:pt>
                <c:pt idx="2">
                  <c:v>Достатній</c:v>
                </c:pt>
                <c:pt idx="3">
                  <c:v>Високий</c:v>
                </c:pt>
              </c:strCache>
            </c:strRef>
          </c:cat>
          <c:val>
            <c:numRef>
              <c:f>Аркуш1!$C$2:$C$5</c:f>
              <c:numCache>
                <c:formatCode>General</c:formatCode>
                <c:ptCount val="4"/>
                <c:pt idx="0">
                  <c:v>24</c:v>
                </c:pt>
                <c:pt idx="1">
                  <c:v>24</c:v>
                </c:pt>
                <c:pt idx="2">
                  <c:v>24</c:v>
                </c:pt>
                <c:pt idx="3">
                  <c:v>24</c:v>
                </c:pt>
              </c:numCache>
            </c:numRef>
          </c:val>
          <c:extLst>
            <c:ext xmlns:c16="http://schemas.microsoft.com/office/drawing/2014/chart" uri="{C3380CC4-5D6E-409C-BE32-E72D297353CC}">
              <c16:uniqueId val="{0000000D-F3BB-4032-AFF6-DC4FD1DBE70E}"/>
            </c:ext>
          </c:extLst>
        </c:ser>
        <c:ser>
          <c:idx val="2"/>
          <c:order val="2"/>
          <c:tx>
            <c:strRef>
              <c:f>Аркуш1!$D$1</c:f>
              <c:strCache>
                <c:ptCount val="1"/>
                <c:pt idx="0">
                  <c:v>Ряд 3</c:v>
                </c:pt>
              </c:strCache>
            </c:strRef>
          </c:tx>
          <c:spPr>
            <a:solidFill>
              <a:schemeClr val="accent3"/>
            </a:solidFill>
            <a:ln>
              <a:noFill/>
            </a:ln>
            <a:effectLst/>
            <a:sp3d/>
          </c:spPr>
          <c:invertIfNegative val="0"/>
          <c:dPt>
            <c:idx val="0"/>
            <c:invertIfNegative val="0"/>
            <c:bubble3D val="0"/>
            <c:spPr>
              <a:noFill/>
              <a:ln>
                <a:noFill/>
              </a:ln>
              <a:effectLst/>
              <a:sp3d/>
            </c:spPr>
            <c:extLst>
              <c:ext xmlns:c16="http://schemas.microsoft.com/office/drawing/2014/chart" uri="{C3380CC4-5D6E-409C-BE32-E72D297353CC}">
                <c16:uniqueId val="{0000000F-F3BB-4032-AFF6-DC4FD1DBE70E}"/>
              </c:ext>
            </c:extLst>
          </c:dPt>
          <c:dPt>
            <c:idx val="1"/>
            <c:invertIfNegative val="0"/>
            <c:bubble3D val="0"/>
            <c:spPr>
              <a:noFill/>
              <a:ln>
                <a:noFill/>
              </a:ln>
              <a:effectLst/>
              <a:sp3d/>
            </c:spPr>
            <c:extLst>
              <c:ext xmlns:c16="http://schemas.microsoft.com/office/drawing/2014/chart" uri="{C3380CC4-5D6E-409C-BE32-E72D297353CC}">
                <c16:uniqueId val="{00000011-F3BB-4032-AFF6-DC4FD1DBE70E}"/>
              </c:ext>
            </c:extLst>
          </c:dPt>
          <c:dPt>
            <c:idx val="3"/>
            <c:invertIfNegative val="0"/>
            <c:bubble3D val="0"/>
            <c:spPr>
              <a:noFill/>
              <a:ln>
                <a:noFill/>
              </a:ln>
              <a:effectLst/>
              <a:sp3d/>
            </c:spPr>
            <c:extLst>
              <c:ext xmlns:c16="http://schemas.microsoft.com/office/drawing/2014/chart" uri="{C3380CC4-5D6E-409C-BE32-E72D297353CC}">
                <c16:uniqueId val="{00000013-F3BB-4032-AFF6-DC4FD1DBE70E}"/>
              </c:ext>
            </c:extLst>
          </c:dPt>
          <c:dLbls>
            <c:dLbl>
              <c:idx val="0"/>
              <c:delete val="1"/>
              <c:extLst>
                <c:ext xmlns:c15="http://schemas.microsoft.com/office/drawing/2012/chart" uri="{CE6537A1-D6FC-4f65-9D91-7224C49458BB}"/>
                <c:ext xmlns:c16="http://schemas.microsoft.com/office/drawing/2014/chart" uri="{C3380CC4-5D6E-409C-BE32-E72D297353CC}">
                  <c16:uniqueId val="{0000000F-F3BB-4032-AFF6-DC4FD1DBE70E}"/>
                </c:ext>
              </c:extLst>
            </c:dLbl>
            <c:dLbl>
              <c:idx val="1"/>
              <c:delete val="1"/>
              <c:extLst>
                <c:ext xmlns:c15="http://schemas.microsoft.com/office/drawing/2012/chart" uri="{CE6537A1-D6FC-4f65-9D91-7224C49458BB}"/>
                <c:ext xmlns:c16="http://schemas.microsoft.com/office/drawing/2014/chart" uri="{C3380CC4-5D6E-409C-BE32-E72D297353CC}">
                  <c16:uniqueId val="{00000011-F3BB-4032-AFF6-DC4FD1DBE70E}"/>
                </c:ext>
              </c:extLst>
            </c:dLbl>
            <c:dLbl>
              <c:idx val="3"/>
              <c:delete val="1"/>
              <c:extLst>
                <c:ext xmlns:c15="http://schemas.microsoft.com/office/drawing/2012/chart" uri="{CE6537A1-D6FC-4f65-9D91-7224C49458BB}"/>
                <c:ext xmlns:c16="http://schemas.microsoft.com/office/drawing/2014/chart" uri="{C3380CC4-5D6E-409C-BE32-E72D297353CC}">
                  <c16:uniqueId val="{00000013-F3BB-4032-AFF6-DC4FD1DBE70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Початковий</c:v>
                </c:pt>
                <c:pt idx="1">
                  <c:v>Середній</c:v>
                </c:pt>
                <c:pt idx="2">
                  <c:v>Достатній</c:v>
                </c:pt>
                <c:pt idx="3">
                  <c:v>Високий</c:v>
                </c:pt>
              </c:strCache>
            </c:strRef>
          </c:cat>
          <c:val>
            <c:numRef>
              <c:f>Аркуш1!$D$2:$D$5</c:f>
              <c:numCache>
                <c:formatCode>General</c:formatCode>
                <c:ptCount val="4"/>
                <c:pt idx="0">
                  <c:v>36</c:v>
                </c:pt>
                <c:pt idx="1">
                  <c:v>36</c:v>
                </c:pt>
                <c:pt idx="2">
                  <c:v>36</c:v>
                </c:pt>
                <c:pt idx="3">
                  <c:v>36</c:v>
                </c:pt>
              </c:numCache>
            </c:numRef>
          </c:val>
          <c:extLst>
            <c:ext xmlns:c16="http://schemas.microsoft.com/office/drawing/2014/chart" uri="{C3380CC4-5D6E-409C-BE32-E72D297353CC}">
              <c16:uniqueId val="{00000014-F3BB-4032-AFF6-DC4FD1DBE70E}"/>
            </c:ext>
          </c:extLst>
        </c:ser>
        <c:ser>
          <c:idx val="3"/>
          <c:order val="3"/>
          <c:tx>
            <c:strRef>
              <c:f>Аркуш1!$E$1</c:f>
              <c:strCache>
                <c:ptCount val="1"/>
                <c:pt idx="0">
                  <c:v>Ряд 4</c:v>
                </c:pt>
              </c:strCache>
            </c:strRef>
          </c:tx>
          <c:spPr>
            <a:solidFill>
              <a:schemeClr val="accent4"/>
            </a:solidFill>
            <a:ln>
              <a:noFill/>
            </a:ln>
            <a:effectLst/>
            <a:sp3d/>
          </c:spPr>
          <c:invertIfNegative val="0"/>
          <c:dPt>
            <c:idx val="0"/>
            <c:invertIfNegative val="0"/>
            <c:bubble3D val="0"/>
            <c:spPr>
              <a:noFill/>
              <a:ln>
                <a:noFill/>
              </a:ln>
              <a:effectLst/>
              <a:sp3d/>
            </c:spPr>
            <c:extLst>
              <c:ext xmlns:c16="http://schemas.microsoft.com/office/drawing/2014/chart" uri="{C3380CC4-5D6E-409C-BE32-E72D297353CC}">
                <c16:uniqueId val="{00000016-F3BB-4032-AFF6-DC4FD1DBE70E}"/>
              </c:ext>
            </c:extLst>
          </c:dPt>
          <c:dPt>
            <c:idx val="1"/>
            <c:invertIfNegative val="0"/>
            <c:bubble3D val="0"/>
            <c:spPr>
              <a:noFill/>
              <a:ln>
                <a:noFill/>
              </a:ln>
              <a:effectLst/>
              <a:sp3d/>
            </c:spPr>
            <c:extLst>
              <c:ext xmlns:c16="http://schemas.microsoft.com/office/drawing/2014/chart" uri="{C3380CC4-5D6E-409C-BE32-E72D297353CC}">
                <c16:uniqueId val="{00000018-F3BB-4032-AFF6-DC4FD1DBE70E}"/>
              </c:ext>
            </c:extLst>
          </c:dPt>
          <c:dPt>
            <c:idx val="2"/>
            <c:invertIfNegative val="0"/>
            <c:bubble3D val="0"/>
            <c:spPr>
              <a:noFill/>
              <a:ln>
                <a:noFill/>
              </a:ln>
              <a:effectLst/>
              <a:sp3d/>
            </c:spPr>
            <c:extLst>
              <c:ext xmlns:c16="http://schemas.microsoft.com/office/drawing/2014/chart" uri="{C3380CC4-5D6E-409C-BE32-E72D297353CC}">
                <c16:uniqueId val="{0000001A-F3BB-4032-AFF6-DC4FD1DBE70E}"/>
              </c:ext>
            </c:extLst>
          </c:dPt>
          <c:dLbls>
            <c:dLbl>
              <c:idx val="0"/>
              <c:delete val="1"/>
              <c:extLst>
                <c:ext xmlns:c15="http://schemas.microsoft.com/office/drawing/2012/chart" uri="{CE6537A1-D6FC-4f65-9D91-7224C49458BB}"/>
                <c:ext xmlns:c16="http://schemas.microsoft.com/office/drawing/2014/chart" uri="{C3380CC4-5D6E-409C-BE32-E72D297353CC}">
                  <c16:uniqueId val="{00000016-F3BB-4032-AFF6-DC4FD1DBE70E}"/>
                </c:ext>
              </c:extLst>
            </c:dLbl>
            <c:dLbl>
              <c:idx val="1"/>
              <c:delete val="1"/>
              <c:extLst>
                <c:ext xmlns:c15="http://schemas.microsoft.com/office/drawing/2012/chart" uri="{CE6537A1-D6FC-4f65-9D91-7224C49458BB}"/>
                <c:ext xmlns:c16="http://schemas.microsoft.com/office/drawing/2014/chart" uri="{C3380CC4-5D6E-409C-BE32-E72D297353CC}">
                  <c16:uniqueId val="{00000018-F3BB-4032-AFF6-DC4FD1DBE70E}"/>
                </c:ext>
              </c:extLst>
            </c:dLbl>
            <c:dLbl>
              <c:idx val="2"/>
              <c:delete val="1"/>
              <c:extLst>
                <c:ext xmlns:c15="http://schemas.microsoft.com/office/drawing/2012/chart" uri="{CE6537A1-D6FC-4f65-9D91-7224C49458BB}"/>
                <c:ext xmlns:c16="http://schemas.microsoft.com/office/drawing/2014/chart" uri="{C3380CC4-5D6E-409C-BE32-E72D297353CC}">
                  <c16:uniqueId val="{0000001A-F3BB-4032-AFF6-DC4FD1DBE70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Початковий</c:v>
                </c:pt>
                <c:pt idx="1">
                  <c:v>Середній</c:v>
                </c:pt>
                <c:pt idx="2">
                  <c:v>Достатній</c:v>
                </c:pt>
                <c:pt idx="3">
                  <c:v>Високий</c:v>
                </c:pt>
              </c:strCache>
            </c:strRef>
          </c:cat>
          <c:val>
            <c:numRef>
              <c:f>Аркуш1!$E$2:$E$5</c:f>
              <c:numCache>
                <c:formatCode>General</c:formatCode>
                <c:ptCount val="4"/>
                <c:pt idx="0">
                  <c:v>48</c:v>
                </c:pt>
                <c:pt idx="1">
                  <c:v>48</c:v>
                </c:pt>
                <c:pt idx="2">
                  <c:v>48</c:v>
                </c:pt>
                <c:pt idx="3">
                  <c:v>48</c:v>
                </c:pt>
              </c:numCache>
            </c:numRef>
          </c:val>
          <c:extLst>
            <c:ext xmlns:c16="http://schemas.microsoft.com/office/drawing/2014/chart" uri="{C3380CC4-5D6E-409C-BE32-E72D297353CC}">
              <c16:uniqueId val="{0000001B-F3BB-4032-AFF6-DC4FD1DBE70E}"/>
            </c:ext>
          </c:extLst>
        </c:ser>
        <c:dLbls>
          <c:showLegendKey val="0"/>
          <c:showVal val="1"/>
          <c:showCatName val="0"/>
          <c:showSerName val="0"/>
          <c:showPercent val="0"/>
          <c:showBubbleSize val="0"/>
        </c:dLbls>
        <c:gapWidth val="150"/>
        <c:shape val="box"/>
        <c:axId val="1505579103"/>
        <c:axId val="1505579519"/>
        <c:axId val="0"/>
      </c:bar3DChart>
      <c:catAx>
        <c:axId val="15055791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05579519"/>
        <c:crosses val="autoZero"/>
        <c:auto val="1"/>
        <c:lblAlgn val="ctr"/>
        <c:lblOffset val="100"/>
        <c:noMultiLvlLbl val="0"/>
      </c:catAx>
      <c:valAx>
        <c:axId val="1505579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505579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125</Pages>
  <Words>153301</Words>
  <Characters>87382</Characters>
  <Application>Microsoft Office Word</Application>
  <DocSecurity>0</DocSecurity>
  <Lines>728</Lines>
  <Paragraphs>480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240203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21</cp:revision>
  <dcterms:created xsi:type="dcterms:W3CDTF">2020-03-29T14:06:00Z</dcterms:created>
  <dcterms:modified xsi:type="dcterms:W3CDTF">2026-06-26T07:36:00Z</dcterms:modified>
</cp:coreProperties>
</file>