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0F9AB" w14:textId="77777777" w:rsidR="00DE020A" w:rsidRPr="00DE020A" w:rsidRDefault="00DE020A" w:rsidP="00DE020A">
      <w:pPr>
        <w:spacing w:line="360" w:lineRule="auto"/>
        <w:ind w:right="-143"/>
        <w:jc w:val="center"/>
        <w:rPr>
          <w:rFonts w:ascii="Times New Roman" w:eastAsia="Calibri" w:hAnsi="Times New Roman" w:cs="Times New Roman"/>
          <w:kern w:val="2"/>
          <w:sz w:val="28"/>
          <w:szCs w:val="28"/>
          <w:lang w:val="ru-RU" w:eastAsia="en-US"/>
          <w14:ligatures w14:val="standardContextual"/>
        </w:rPr>
      </w:pPr>
      <w:bookmarkStart w:id="0" w:name="_Hlk231758959"/>
      <w:bookmarkEnd w:id="0"/>
      <w:r w:rsidRPr="00DE020A">
        <w:rPr>
          <w:rFonts w:ascii="Times New Roman" w:eastAsia="Calibri" w:hAnsi="Times New Roman" w:cs="Times New Roman"/>
          <w:kern w:val="2"/>
          <w:sz w:val="28"/>
          <w:szCs w:val="28"/>
          <w:lang w:val="uk-UA" w:eastAsia="en-US"/>
          <w14:ligatures w14:val="standardContextual"/>
        </w:rPr>
        <w:t>Міністерство освіти і науки України</w:t>
      </w:r>
    </w:p>
    <w:p w14:paraId="6CA6F2DB" w14:textId="77777777" w:rsidR="00DE020A" w:rsidRPr="00DE020A" w:rsidRDefault="00DE020A" w:rsidP="00DE020A">
      <w:pPr>
        <w:spacing w:line="360" w:lineRule="auto"/>
        <w:jc w:val="center"/>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Київський національний університет імені Тараса Шевченка</w:t>
      </w:r>
    </w:p>
    <w:p w14:paraId="5BBF9E50" w14:textId="77777777" w:rsidR="00DE020A" w:rsidRPr="00DE020A" w:rsidRDefault="00DE020A" w:rsidP="00DE020A">
      <w:pPr>
        <w:spacing w:line="360" w:lineRule="auto"/>
        <w:jc w:val="center"/>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Географічний факультет</w:t>
      </w:r>
    </w:p>
    <w:p w14:paraId="086820B2" w14:textId="3497BECA" w:rsidR="00DE020A" w:rsidRPr="00DE020A" w:rsidRDefault="00DE020A" w:rsidP="00DE020A">
      <w:pPr>
        <w:spacing w:line="360" w:lineRule="auto"/>
        <w:jc w:val="center"/>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Кафедра фізичної географії та геоекології</w:t>
      </w:r>
    </w:p>
    <w:p w14:paraId="1DBAF281" w14:textId="376A436F" w:rsidR="00DE020A" w:rsidRPr="00DE020A" w:rsidRDefault="00DE020A" w:rsidP="00DE020A">
      <w:pPr>
        <w:spacing w:line="360" w:lineRule="auto"/>
        <w:ind w:right="-143"/>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На правах рукопису</w:t>
      </w:r>
    </w:p>
    <w:p w14:paraId="27F60E4A" w14:textId="59120FC5" w:rsidR="00DE020A" w:rsidRPr="00DE020A" w:rsidRDefault="00DE020A" w:rsidP="00DE020A">
      <w:pPr>
        <w:spacing w:line="360" w:lineRule="auto"/>
        <w:ind w:right="-143"/>
        <w:jc w:val="right"/>
        <w:rPr>
          <w:rFonts w:ascii="Times New Roman" w:eastAsia="Calibri" w:hAnsi="Times New Roman" w:cs="Times New Roman"/>
          <w:kern w:val="2"/>
          <w:sz w:val="28"/>
          <w:szCs w:val="28"/>
          <w:lang w:val="ru-RU"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 xml:space="preserve">УДК: </w:t>
      </w:r>
      <w:r w:rsidR="006C41B8">
        <w:rPr>
          <w:rFonts w:ascii="Times New Roman" w:eastAsia="Calibri" w:hAnsi="Times New Roman" w:cs="Times New Roman"/>
          <w:kern w:val="2"/>
          <w:sz w:val="28"/>
          <w:szCs w:val="28"/>
          <w:lang w:val="uk-UA" w:eastAsia="en-US"/>
          <w14:ligatures w14:val="standardContextual"/>
        </w:rPr>
        <w:t>91:</w:t>
      </w:r>
      <w:r w:rsidRPr="00DE020A">
        <w:rPr>
          <w:rFonts w:ascii="Times New Roman" w:eastAsia="Calibri" w:hAnsi="Times New Roman" w:cs="Times New Roman"/>
          <w:kern w:val="2"/>
          <w:sz w:val="28"/>
          <w:szCs w:val="28"/>
          <w:lang w:val="uk-UA" w:eastAsia="en-US"/>
          <w14:ligatures w14:val="standardContextual"/>
        </w:rPr>
        <w:t>504</w:t>
      </w:r>
      <w:r w:rsidR="006C41B8" w:rsidRPr="006C41B8">
        <w:rPr>
          <w:rFonts w:ascii="Times New Roman" w:eastAsia="Calibri" w:hAnsi="Times New Roman" w:cs="Times New Roman"/>
          <w:kern w:val="2"/>
          <w:sz w:val="28"/>
          <w:szCs w:val="28"/>
          <w:lang w:val="uk-UA" w:eastAsia="en-US"/>
          <w14:ligatures w14:val="standardContextual"/>
        </w:rPr>
        <w:t>(</w:t>
      </w:r>
      <w:r w:rsidRPr="00DE020A">
        <w:rPr>
          <w:rFonts w:ascii="Times New Roman" w:eastAsia="Calibri" w:hAnsi="Times New Roman" w:cs="Times New Roman"/>
          <w:kern w:val="2"/>
          <w:sz w:val="28"/>
          <w:szCs w:val="28"/>
          <w:lang w:val="uk-UA" w:eastAsia="en-US"/>
          <w14:ligatures w14:val="standardContextual"/>
        </w:rPr>
        <w:t>4</w:t>
      </w:r>
      <w:r w:rsidR="006C41B8" w:rsidRPr="006C41B8">
        <w:rPr>
          <w:rFonts w:ascii="Times New Roman" w:eastAsia="Calibri" w:hAnsi="Times New Roman" w:cs="Times New Roman"/>
          <w:kern w:val="2"/>
          <w:sz w:val="28"/>
          <w:szCs w:val="28"/>
          <w:lang w:val="uk-UA" w:eastAsia="en-US"/>
          <w14:ligatures w14:val="standardContextual"/>
        </w:rPr>
        <w:t>77)</w:t>
      </w:r>
    </w:p>
    <w:p w14:paraId="4DCAA0C4" w14:textId="59C63907" w:rsidR="00E62C75" w:rsidRPr="00DE020A" w:rsidRDefault="00E62C75" w:rsidP="00DE020A">
      <w:pPr>
        <w:pStyle w:val="2"/>
        <w:spacing w:beforeAutospacing="0" w:afterAutospacing="0"/>
        <w:ind w:rightChars="19" w:right="38"/>
        <w:rPr>
          <w:rFonts w:ascii="Times New Roman" w:hAnsi="Times New Roman" w:hint="default"/>
          <w:b w:val="0"/>
          <w:bCs w:val="0"/>
          <w:i w:val="0"/>
          <w:iCs w:val="0"/>
          <w:sz w:val="28"/>
          <w:szCs w:val="28"/>
          <w:lang w:val="uk-UA"/>
        </w:rPr>
      </w:pPr>
    </w:p>
    <w:p w14:paraId="718663C1" w14:textId="77777777" w:rsidR="00E62C75" w:rsidRPr="00151E2E" w:rsidRDefault="00000000" w:rsidP="00151E2E">
      <w:pPr>
        <w:pStyle w:val="2"/>
        <w:spacing w:beforeAutospacing="0" w:afterAutospacing="0" w:line="360" w:lineRule="auto"/>
        <w:jc w:val="center"/>
        <w:rPr>
          <w:rFonts w:ascii="Times New Roman" w:hAnsi="Times New Roman" w:hint="default"/>
          <w:i w:val="0"/>
          <w:iCs w:val="0"/>
          <w:sz w:val="28"/>
          <w:szCs w:val="28"/>
          <w:lang w:val="uk-UA"/>
        </w:rPr>
      </w:pPr>
      <w:r w:rsidRPr="00151E2E">
        <w:rPr>
          <w:rFonts w:ascii="Times New Roman" w:hAnsi="Times New Roman" w:hint="default"/>
          <w:i w:val="0"/>
          <w:iCs w:val="0"/>
          <w:sz w:val="28"/>
          <w:szCs w:val="28"/>
          <w:lang w:val="uk-UA"/>
        </w:rPr>
        <w:t xml:space="preserve">МІЖНАРОДНИЙ ДОСВІД ОЦІНКИ ВПЛИВУ НА ДОВКІЛЛЯ </w:t>
      </w:r>
    </w:p>
    <w:p w14:paraId="4BADDA2D" w14:textId="77777777" w:rsidR="00E62C75" w:rsidRPr="00151E2E" w:rsidRDefault="00000000" w:rsidP="00151E2E">
      <w:pPr>
        <w:pStyle w:val="2"/>
        <w:spacing w:beforeAutospacing="0" w:afterAutospacing="0" w:line="360" w:lineRule="auto"/>
        <w:jc w:val="center"/>
        <w:rPr>
          <w:rFonts w:ascii="Times New Roman" w:hAnsi="Times New Roman" w:hint="default"/>
          <w:i w:val="0"/>
          <w:iCs w:val="0"/>
          <w:sz w:val="28"/>
          <w:szCs w:val="28"/>
          <w:lang w:val="uk-UA"/>
        </w:rPr>
      </w:pPr>
      <w:r w:rsidRPr="00151E2E">
        <w:rPr>
          <w:rFonts w:ascii="Times New Roman" w:hAnsi="Times New Roman" w:hint="default"/>
          <w:i w:val="0"/>
          <w:iCs w:val="0"/>
          <w:sz w:val="28"/>
          <w:szCs w:val="28"/>
          <w:lang w:val="uk-UA"/>
        </w:rPr>
        <w:t xml:space="preserve">У ТРАНСКОРДОННИХ ПРОЄКТАХ: </w:t>
      </w:r>
    </w:p>
    <w:p w14:paraId="1E17BB39" w14:textId="25B1698F" w:rsidR="00E62C75" w:rsidRPr="00151E2E" w:rsidRDefault="00000000" w:rsidP="00151E2E">
      <w:pPr>
        <w:pStyle w:val="2"/>
        <w:spacing w:beforeAutospacing="0" w:afterAutospacing="0" w:line="360" w:lineRule="auto"/>
        <w:jc w:val="center"/>
        <w:rPr>
          <w:rFonts w:ascii="Times New Roman" w:hAnsi="Times New Roman" w:hint="default"/>
          <w:i w:val="0"/>
          <w:iCs w:val="0"/>
          <w:sz w:val="28"/>
          <w:szCs w:val="28"/>
          <w:lang w:val="uk-UA"/>
        </w:rPr>
      </w:pPr>
      <w:r w:rsidRPr="00151E2E">
        <w:rPr>
          <w:rFonts w:ascii="Times New Roman" w:hAnsi="Times New Roman" w:hint="default"/>
          <w:i w:val="0"/>
          <w:iCs w:val="0"/>
          <w:sz w:val="28"/>
          <w:szCs w:val="28"/>
          <w:lang w:val="uk-UA"/>
        </w:rPr>
        <w:t>МОЖЛИВОСТІ ТА ВИКЛИКИ ДЛЯ УКРАЇНИ</w:t>
      </w:r>
    </w:p>
    <w:p w14:paraId="5F657F4B" w14:textId="79CC5127" w:rsidR="00DE020A" w:rsidRPr="00DE020A" w:rsidRDefault="00DE020A" w:rsidP="00DE020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New Roman" w:eastAsia="Times New Roman" w:hAnsi="Times New Roman" w:cs="Times New Roman"/>
          <w:color w:val="1F1F1F"/>
          <w:sz w:val="28"/>
          <w:szCs w:val="28"/>
          <w:lang w:val="en" w:eastAsia="ru-RU"/>
        </w:rPr>
      </w:pPr>
      <w:r w:rsidRPr="00DE020A">
        <w:rPr>
          <w:rFonts w:ascii="Times New Roman" w:eastAsia="Times New Roman" w:hAnsi="Times New Roman" w:cs="Times New Roman"/>
          <w:color w:val="1F1F1F"/>
          <w:sz w:val="28"/>
          <w:szCs w:val="28"/>
          <w:lang w:val="en" w:eastAsia="ru-RU"/>
        </w:rPr>
        <w:t>INTERNATIONAL EXPERIENCE IN ENVIRONMENTAL IMPACT ASSESSMENTIN TRANSBORDER PROJECTS:</w:t>
      </w:r>
    </w:p>
    <w:p w14:paraId="53D139A2" w14:textId="0856E6B8" w:rsidR="00DE020A" w:rsidRPr="00DE020A" w:rsidRDefault="00DE020A" w:rsidP="00DE020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New Roman" w:eastAsia="Times New Roman" w:hAnsi="Times New Roman" w:cs="Times New Roman"/>
          <w:color w:val="1F1F1F"/>
          <w:sz w:val="28"/>
          <w:szCs w:val="28"/>
          <w:lang w:val="uk-UA" w:eastAsia="ru-RU"/>
        </w:rPr>
      </w:pPr>
      <w:r w:rsidRPr="00DE020A">
        <w:rPr>
          <w:rFonts w:ascii="Times New Roman" w:eastAsia="Times New Roman" w:hAnsi="Times New Roman" w:cs="Times New Roman"/>
          <w:color w:val="1F1F1F"/>
          <w:sz w:val="28"/>
          <w:szCs w:val="28"/>
          <w:lang w:val="en" w:eastAsia="ru-RU"/>
        </w:rPr>
        <w:t>OPPORTUNITIES AND CHALLENGES FOR UKRAINE</w:t>
      </w:r>
      <w:r>
        <w:rPr>
          <w:rFonts w:ascii="Times New Roman" w:eastAsia="Times New Roman" w:hAnsi="Times New Roman" w:cs="Times New Roman"/>
          <w:color w:val="1F1F1F"/>
          <w:sz w:val="28"/>
          <w:szCs w:val="28"/>
          <w:lang w:val="uk-UA" w:eastAsia="ru-RU"/>
        </w:rPr>
        <w:t xml:space="preserve"> </w:t>
      </w:r>
    </w:p>
    <w:p w14:paraId="0F762997" w14:textId="77777777" w:rsidR="00E62C75" w:rsidRPr="00DE020A" w:rsidRDefault="00E62C75" w:rsidP="00151E2E">
      <w:pPr>
        <w:pStyle w:val="2"/>
        <w:spacing w:beforeAutospacing="0" w:afterAutospacing="0" w:line="360" w:lineRule="auto"/>
        <w:jc w:val="center"/>
        <w:rPr>
          <w:rFonts w:ascii="Times New Roman" w:hAnsi="Times New Roman" w:hint="default"/>
          <w:i w:val="0"/>
          <w:iCs w:val="0"/>
          <w:sz w:val="28"/>
          <w:szCs w:val="28"/>
        </w:rPr>
      </w:pPr>
    </w:p>
    <w:p w14:paraId="3874A706" w14:textId="77777777" w:rsidR="00DE020A" w:rsidRPr="00DE020A" w:rsidRDefault="00DE020A" w:rsidP="00DE020A">
      <w:pPr>
        <w:spacing w:after="160"/>
        <w:jc w:val="both"/>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Галузь знань: 10 природничі науки</w:t>
      </w:r>
    </w:p>
    <w:p w14:paraId="6E385FC7" w14:textId="77777777" w:rsidR="00DE020A" w:rsidRPr="00DE020A" w:rsidRDefault="00DE020A" w:rsidP="00DE020A">
      <w:pPr>
        <w:spacing w:after="160"/>
        <w:jc w:val="both"/>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Спеціальність: 106 Географія</w:t>
      </w:r>
    </w:p>
    <w:p w14:paraId="5B9C3933" w14:textId="26F10B9A" w:rsidR="00DE020A" w:rsidRPr="00DE020A" w:rsidRDefault="00DE020A" w:rsidP="00DE020A">
      <w:pPr>
        <w:spacing w:after="160"/>
        <w:jc w:val="both"/>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 xml:space="preserve">Освітня програма: Транскордонне </w:t>
      </w:r>
      <w:r>
        <w:rPr>
          <w:rFonts w:ascii="Times New Roman" w:eastAsia="Calibri" w:hAnsi="Times New Roman" w:cs="Times New Roman"/>
          <w:kern w:val="2"/>
          <w:sz w:val="28"/>
          <w:szCs w:val="28"/>
          <w:lang w:val="uk-UA" w:eastAsia="en-US"/>
          <w14:ligatures w14:val="standardContextual"/>
        </w:rPr>
        <w:t>е</w:t>
      </w:r>
      <w:r w:rsidRPr="00DE020A">
        <w:rPr>
          <w:rFonts w:ascii="Times New Roman" w:eastAsia="Calibri" w:hAnsi="Times New Roman" w:cs="Times New Roman"/>
          <w:kern w:val="2"/>
          <w:sz w:val="28"/>
          <w:szCs w:val="28"/>
          <w:lang w:val="uk-UA" w:eastAsia="en-US"/>
          <w14:ligatures w14:val="standardContextual"/>
        </w:rPr>
        <w:t xml:space="preserve">кологічне </w:t>
      </w:r>
      <w:r>
        <w:rPr>
          <w:rFonts w:ascii="Times New Roman" w:eastAsia="Calibri" w:hAnsi="Times New Roman" w:cs="Times New Roman"/>
          <w:kern w:val="2"/>
          <w:sz w:val="28"/>
          <w:szCs w:val="28"/>
          <w:lang w:val="uk-UA" w:eastAsia="en-US"/>
          <w14:ligatures w14:val="standardContextual"/>
        </w:rPr>
        <w:t>с</w:t>
      </w:r>
      <w:r w:rsidRPr="00DE020A">
        <w:rPr>
          <w:rFonts w:ascii="Times New Roman" w:eastAsia="Calibri" w:hAnsi="Times New Roman" w:cs="Times New Roman"/>
          <w:kern w:val="2"/>
          <w:sz w:val="28"/>
          <w:szCs w:val="28"/>
          <w:lang w:val="uk-UA" w:eastAsia="en-US"/>
          <w14:ligatures w14:val="standardContextual"/>
        </w:rPr>
        <w:t>півробітництво</w:t>
      </w:r>
      <w:r>
        <w:rPr>
          <w:rFonts w:ascii="Times New Roman" w:eastAsia="Calibri" w:hAnsi="Times New Roman" w:cs="Times New Roman"/>
          <w:kern w:val="2"/>
          <w:sz w:val="28"/>
          <w:szCs w:val="28"/>
          <w:lang w:val="uk-UA" w:eastAsia="en-US"/>
          <w14:ligatures w14:val="standardContextual"/>
        </w:rPr>
        <w:t xml:space="preserve"> </w:t>
      </w:r>
    </w:p>
    <w:p w14:paraId="6D4D2BCD" w14:textId="77777777" w:rsidR="00CE4C6F"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 xml:space="preserve"> </w:t>
      </w:r>
    </w:p>
    <w:p w14:paraId="134B3C49" w14:textId="3BF62744"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Кваліфікаційна робота бакалавра</w:t>
      </w:r>
    </w:p>
    <w:p w14:paraId="48547F6E" w14:textId="77777777"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студента четвертого курсу</w:t>
      </w:r>
    </w:p>
    <w:p w14:paraId="6CA980AA" w14:textId="7D649B79"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Pr>
          <w:rFonts w:ascii="Times New Roman" w:eastAsia="Calibri" w:hAnsi="Times New Roman" w:cs="Times New Roman"/>
          <w:kern w:val="2"/>
          <w:sz w:val="28"/>
          <w:szCs w:val="28"/>
          <w:lang w:val="uk-UA" w:eastAsia="en-US"/>
          <w14:ligatures w14:val="standardContextual"/>
        </w:rPr>
        <w:t>Мийгес</w:t>
      </w:r>
      <w:r w:rsidRPr="00DE020A">
        <w:rPr>
          <w:rFonts w:ascii="Times New Roman" w:eastAsia="Calibri" w:hAnsi="Times New Roman" w:cs="Times New Roman"/>
          <w:kern w:val="2"/>
          <w:sz w:val="28"/>
          <w:szCs w:val="28"/>
          <w:lang w:val="uk-UA" w:eastAsia="en-US"/>
          <w14:ligatures w14:val="standardContextual"/>
        </w:rPr>
        <w:t xml:space="preserve"> </w:t>
      </w:r>
      <w:r>
        <w:rPr>
          <w:rFonts w:ascii="Times New Roman" w:eastAsia="Calibri" w:hAnsi="Times New Roman" w:cs="Times New Roman"/>
          <w:kern w:val="2"/>
          <w:sz w:val="28"/>
          <w:szCs w:val="28"/>
          <w:lang w:val="uk-UA" w:eastAsia="en-US"/>
          <w14:ligatures w14:val="standardContextual"/>
        </w:rPr>
        <w:t>Каріни</w:t>
      </w:r>
      <w:r w:rsidR="00016993">
        <w:rPr>
          <w:rFonts w:ascii="Times New Roman" w:eastAsia="Calibri" w:hAnsi="Times New Roman" w:cs="Times New Roman"/>
          <w:kern w:val="2"/>
          <w:sz w:val="28"/>
          <w:szCs w:val="28"/>
          <w:lang w:val="uk-UA" w:eastAsia="en-US"/>
          <w14:ligatures w14:val="standardContextual"/>
        </w:rPr>
        <w:t xml:space="preserve"> Андріївни </w:t>
      </w:r>
    </w:p>
    <w:p w14:paraId="3DB9F491" w14:textId="77777777"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Науковий керівник:</w:t>
      </w:r>
    </w:p>
    <w:p w14:paraId="21E82D6D" w14:textId="77777777"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доцент кафедри фізичної географії</w:t>
      </w:r>
    </w:p>
    <w:p w14:paraId="632384C3" w14:textId="77777777"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та геоекології,</w:t>
      </w:r>
    </w:p>
    <w:p w14:paraId="64A928B2" w14:textId="77777777"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кандидат географічних наук, доцент</w:t>
      </w:r>
    </w:p>
    <w:p w14:paraId="1B2B0BDB" w14:textId="2E5250C3" w:rsidR="00DE020A" w:rsidRPr="00DE020A" w:rsidRDefault="00DE020A" w:rsidP="00DE020A">
      <w:pPr>
        <w:spacing w:after="160"/>
        <w:jc w:val="right"/>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 xml:space="preserve">Діброва Іван Олександрович </w:t>
      </w:r>
    </w:p>
    <w:p w14:paraId="5D72890E" w14:textId="0C16F9D1" w:rsidR="00DE020A" w:rsidRPr="00DE020A" w:rsidRDefault="00DE020A" w:rsidP="00E432DD">
      <w:pPr>
        <w:spacing w:line="360" w:lineRule="auto"/>
        <w:ind w:right="-143"/>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Допущено до захисту:</w:t>
      </w:r>
    </w:p>
    <w:p w14:paraId="0E00B648" w14:textId="77777777" w:rsidR="00DE020A" w:rsidRPr="00DE020A" w:rsidRDefault="00DE020A" w:rsidP="00E432DD">
      <w:pPr>
        <w:spacing w:line="360" w:lineRule="auto"/>
        <w:ind w:right="-143"/>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Протокол засідання кафедри № ___ від «___» ____________20__ року</w:t>
      </w:r>
    </w:p>
    <w:p w14:paraId="4C5D939D" w14:textId="77777777" w:rsidR="00DE020A" w:rsidRPr="00DE020A" w:rsidRDefault="00DE020A" w:rsidP="00E432DD">
      <w:pPr>
        <w:spacing w:line="360" w:lineRule="auto"/>
        <w:ind w:right="-143"/>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Завідувач кафедри: к. геогр. н., доцент Білоус Л.Ф.</w:t>
      </w:r>
    </w:p>
    <w:p w14:paraId="799F0D00" w14:textId="76C2F054" w:rsidR="00151E2E" w:rsidRPr="00DE020A" w:rsidRDefault="00DE020A" w:rsidP="00DE020A">
      <w:pPr>
        <w:spacing w:after="160"/>
        <w:jc w:val="center"/>
        <w:rPr>
          <w:rFonts w:ascii="Times New Roman" w:eastAsia="Calibri" w:hAnsi="Times New Roman" w:cs="Times New Roman"/>
          <w:kern w:val="2"/>
          <w:sz w:val="28"/>
          <w:szCs w:val="28"/>
          <w:lang w:val="uk-UA" w:eastAsia="en-US"/>
          <w14:ligatures w14:val="standardContextual"/>
        </w:rPr>
      </w:pPr>
      <w:r w:rsidRPr="00DE020A">
        <w:rPr>
          <w:rFonts w:ascii="Times New Roman" w:eastAsia="Calibri" w:hAnsi="Times New Roman" w:cs="Times New Roman"/>
          <w:kern w:val="2"/>
          <w:sz w:val="28"/>
          <w:szCs w:val="28"/>
          <w:lang w:val="uk-UA" w:eastAsia="en-US"/>
          <w14:ligatures w14:val="standardContextual"/>
        </w:rPr>
        <w:t>Київ – 2026</w:t>
      </w:r>
    </w:p>
    <w:p w14:paraId="4E757C24" w14:textId="77777777" w:rsidR="00E62C75" w:rsidRPr="00FC0CBD" w:rsidRDefault="00000000">
      <w:pPr>
        <w:pStyle w:val="2"/>
        <w:spacing w:beforeAutospacing="0" w:afterAutospacing="0" w:line="360" w:lineRule="auto"/>
        <w:ind w:rightChars="19" w:right="38"/>
        <w:jc w:val="center"/>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ЗМІСТ</w:t>
      </w:r>
    </w:p>
    <w:p w14:paraId="0C2840F5" w14:textId="77777777" w:rsidR="00E62C75" w:rsidRPr="00FC0CBD" w:rsidRDefault="00E62C75">
      <w:pPr>
        <w:rPr>
          <w:lang w:val="uk-UA"/>
        </w:rPr>
      </w:pPr>
    </w:p>
    <w:p w14:paraId="7F509C3D" w14:textId="77777777" w:rsidR="00E62C75" w:rsidRPr="00FC0CBD" w:rsidRDefault="00000000">
      <w:pPr>
        <w:pStyle w:val="a8"/>
        <w:spacing w:beforeAutospacing="0" w:afterAutospacing="0" w:line="360" w:lineRule="auto"/>
        <w:ind w:rightChars="19" w:right="38"/>
        <w:jc w:val="both"/>
        <w:rPr>
          <w:sz w:val="28"/>
          <w:szCs w:val="28"/>
          <w:lang w:val="uk-UA"/>
        </w:rPr>
      </w:pPr>
      <w:r w:rsidRPr="00FC0CBD">
        <w:rPr>
          <w:rStyle w:val="a4"/>
          <w:b w:val="0"/>
          <w:bCs w:val="0"/>
          <w:sz w:val="28"/>
          <w:szCs w:val="28"/>
          <w:lang w:val="uk-UA"/>
        </w:rPr>
        <w:t>ВСТУП.........................................................................................................................</w:t>
      </w:r>
      <w:r w:rsidRPr="00134B42">
        <w:rPr>
          <w:rStyle w:val="a4"/>
          <w:b w:val="0"/>
          <w:bCs w:val="0"/>
          <w:sz w:val="28"/>
          <w:szCs w:val="28"/>
          <w:lang w:val="uk-UA"/>
        </w:rPr>
        <w:t>3</w:t>
      </w:r>
    </w:p>
    <w:p w14:paraId="5286DAED" w14:textId="43049797" w:rsidR="00E62C75" w:rsidRPr="00FC0CBD" w:rsidRDefault="00000000">
      <w:pPr>
        <w:pStyle w:val="3"/>
        <w:spacing w:beforeAutospacing="0" w:afterAutospacing="0" w:line="360" w:lineRule="auto"/>
        <w:ind w:rightChars="19" w:right="38"/>
        <w:jc w:val="both"/>
        <w:rPr>
          <w:rFonts w:ascii="Times New Roman" w:hAnsi="Times New Roman" w:hint="default"/>
          <w:b w:val="0"/>
          <w:bCs w:val="0"/>
          <w:spacing w:val="-20"/>
          <w:sz w:val="28"/>
          <w:szCs w:val="28"/>
          <w:lang w:val="uk-UA"/>
        </w:rPr>
      </w:pPr>
      <w:r w:rsidRPr="00AA678A">
        <w:rPr>
          <w:rFonts w:ascii="Times New Roman" w:hAnsi="Times New Roman" w:hint="default"/>
          <w:b w:val="0"/>
          <w:bCs w:val="0"/>
          <w:sz w:val="28"/>
          <w:szCs w:val="28"/>
          <w:lang w:val="uk-UA"/>
        </w:rPr>
        <w:t>РОЗДІЛ 1. ТЕОРЕТИКО-МЕТОДОЛОГІЧНІ ОСНОВИ ТРАНСКОРДОННОЇ ОЦІНКИ ВПЛИВУ НА ДОВКІЛЛЯ (ОВД</w:t>
      </w:r>
      <w:r w:rsidRPr="00FC0CBD">
        <w:rPr>
          <w:rFonts w:ascii="Times New Roman" w:hAnsi="Times New Roman" w:hint="default"/>
          <w:b w:val="0"/>
          <w:bCs w:val="0"/>
          <w:spacing w:val="-20"/>
          <w:sz w:val="28"/>
          <w:szCs w:val="28"/>
          <w:lang w:val="uk-UA"/>
        </w:rPr>
        <w:t>)....................</w:t>
      </w:r>
      <w:r w:rsidR="00AA678A">
        <w:rPr>
          <w:rFonts w:ascii="Times New Roman" w:hAnsi="Times New Roman" w:hint="default"/>
          <w:b w:val="0"/>
          <w:bCs w:val="0"/>
          <w:spacing w:val="-20"/>
          <w:sz w:val="28"/>
          <w:szCs w:val="28"/>
          <w:lang w:val="uk-UA"/>
        </w:rPr>
        <w:t>...........</w:t>
      </w:r>
      <w:r w:rsidRPr="00FC0CBD">
        <w:rPr>
          <w:rFonts w:ascii="Times New Roman" w:hAnsi="Times New Roman" w:hint="default"/>
          <w:b w:val="0"/>
          <w:bCs w:val="0"/>
          <w:spacing w:val="-20"/>
          <w:sz w:val="28"/>
          <w:szCs w:val="28"/>
          <w:lang w:val="uk-UA"/>
        </w:rPr>
        <w:t>.......................................................8</w:t>
      </w:r>
    </w:p>
    <w:p w14:paraId="1A899F3A" w14:textId="45748B52" w:rsidR="00E62C75" w:rsidRPr="00FC0CBD" w:rsidRDefault="00000000">
      <w:pPr>
        <w:pStyle w:val="a8"/>
        <w:numPr>
          <w:ilvl w:val="1"/>
          <w:numId w:val="1"/>
        </w:numPr>
        <w:spacing w:beforeAutospacing="0" w:afterAutospacing="0" w:line="360" w:lineRule="auto"/>
        <w:ind w:rightChars="19" w:right="38"/>
        <w:jc w:val="both"/>
        <w:rPr>
          <w:sz w:val="28"/>
          <w:szCs w:val="28"/>
          <w:lang w:val="uk-UA"/>
        </w:rPr>
      </w:pPr>
      <w:r w:rsidRPr="00FC0CBD">
        <w:rPr>
          <w:sz w:val="28"/>
          <w:szCs w:val="28"/>
          <w:lang w:val="uk-UA"/>
        </w:rPr>
        <w:t>Поняття, цілі та принципи оцінки впливу на довкілля....................................8</w:t>
      </w:r>
      <w:r w:rsidRPr="00FC0CBD">
        <w:rPr>
          <w:sz w:val="28"/>
          <w:szCs w:val="28"/>
          <w:lang w:val="uk-UA"/>
        </w:rPr>
        <w:br/>
        <w:t>1.2. Формування та розвиток міжнародних підходів до ОВД..............................1</w:t>
      </w:r>
      <w:r w:rsidR="00134B42">
        <w:rPr>
          <w:sz w:val="28"/>
          <w:szCs w:val="28"/>
          <w:lang w:val="uk-UA"/>
        </w:rPr>
        <w:t>2</w:t>
      </w:r>
      <w:r w:rsidRPr="00FC0CBD">
        <w:rPr>
          <w:sz w:val="28"/>
          <w:szCs w:val="28"/>
          <w:lang w:val="uk-UA"/>
        </w:rPr>
        <w:br/>
        <w:t>1.3. Транскордонний вимір оцінки впливу на довкілля........................................17</w:t>
      </w:r>
      <w:r w:rsidRPr="00FC0CBD">
        <w:rPr>
          <w:sz w:val="28"/>
          <w:szCs w:val="28"/>
          <w:lang w:val="uk-UA"/>
        </w:rPr>
        <w:br/>
        <w:t>1.4.  Міжнародні інституції та механізми регулювання транскордонної ОВД...21</w:t>
      </w:r>
    </w:p>
    <w:p w14:paraId="2CAE217A" w14:textId="77FD3C1F" w:rsidR="00E62C75" w:rsidRPr="00FC0CBD" w:rsidRDefault="00000000">
      <w:pPr>
        <w:pStyle w:val="a8"/>
        <w:spacing w:beforeAutospacing="0" w:afterAutospacing="0" w:line="360" w:lineRule="auto"/>
        <w:ind w:rightChars="19" w:right="38"/>
        <w:jc w:val="both"/>
        <w:rPr>
          <w:sz w:val="28"/>
          <w:szCs w:val="28"/>
          <w:lang w:val="uk-UA"/>
        </w:rPr>
      </w:pPr>
      <w:r w:rsidRPr="00FC0CBD">
        <w:rPr>
          <w:sz w:val="28"/>
          <w:szCs w:val="28"/>
          <w:lang w:val="uk-UA"/>
        </w:rPr>
        <w:t>Висновки до розділу 1..............................................................................................2</w:t>
      </w:r>
      <w:r w:rsidR="00134B42">
        <w:rPr>
          <w:sz w:val="28"/>
          <w:szCs w:val="28"/>
          <w:lang w:val="uk-UA"/>
        </w:rPr>
        <w:t>5</w:t>
      </w:r>
    </w:p>
    <w:p w14:paraId="2F472202" w14:textId="7C3D09F6" w:rsidR="00E62C75" w:rsidRPr="00FC0CBD" w:rsidRDefault="00000000">
      <w:pPr>
        <w:pStyle w:val="3"/>
        <w:spacing w:beforeAutospacing="0" w:afterAutospacing="0" w:line="360" w:lineRule="auto"/>
        <w:ind w:rightChars="19" w:right="38"/>
        <w:jc w:val="both"/>
        <w:rPr>
          <w:rFonts w:ascii="Times New Roman" w:hAnsi="Times New Roman" w:hint="default"/>
          <w:b w:val="0"/>
          <w:bCs w:val="0"/>
          <w:sz w:val="28"/>
          <w:szCs w:val="28"/>
          <w:lang w:val="uk-UA"/>
        </w:rPr>
      </w:pPr>
      <w:r w:rsidRPr="00FC0CBD">
        <w:rPr>
          <w:rFonts w:ascii="Times New Roman" w:hAnsi="Times New Roman" w:hint="default"/>
          <w:b w:val="0"/>
          <w:bCs w:val="0"/>
          <w:sz w:val="28"/>
          <w:szCs w:val="28"/>
          <w:lang w:val="uk-UA"/>
        </w:rPr>
        <w:t>РОЗДІЛ 2. МІЖНАРОДНИЙ ДОСВІД РЕАЛІЗАЦІЇ ТРАНСКОРДОННОЇ ОЦІНКИ ВПЛИВУ НА ДОВКІЛЛЯ (ОВД)...........................................................2</w:t>
      </w:r>
      <w:r w:rsidR="00134B42">
        <w:rPr>
          <w:rFonts w:ascii="Times New Roman" w:hAnsi="Times New Roman" w:hint="default"/>
          <w:b w:val="0"/>
          <w:bCs w:val="0"/>
          <w:sz w:val="28"/>
          <w:szCs w:val="28"/>
          <w:lang w:val="uk-UA"/>
        </w:rPr>
        <w:t>7</w:t>
      </w:r>
      <w:r w:rsidRPr="00FC0CBD">
        <w:rPr>
          <w:rFonts w:ascii="Times New Roman" w:hAnsi="Times New Roman" w:hint="default"/>
          <w:b w:val="0"/>
          <w:bCs w:val="0"/>
          <w:sz w:val="28"/>
          <w:szCs w:val="28"/>
          <w:lang w:val="uk-UA"/>
        </w:rPr>
        <w:t xml:space="preserve"> </w:t>
      </w:r>
    </w:p>
    <w:p w14:paraId="56F074A7" w14:textId="311C1196" w:rsidR="00E62C75" w:rsidRPr="00FC0CBD" w:rsidRDefault="00000000">
      <w:pPr>
        <w:pStyle w:val="a8"/>
        <w:spacing w:beforeAutospacing="0" w:afterAutospacing="0" w:line="360" w:lineRule="auto"/>
        <w:ind w:rightChars="19" w:right="38"/>
        <w:jc w:val="both"/>
        <w:rPr>
          <w:sz w:val="28"/>
          <w:szCs w:val="28"/>
          <w:lang w:val="uk-UA"/>
        </w:rPr>
      </w:pPr>
      <w:r w:rsidRPr="00FC0CBD">
        <w:rPr>
          <w:sz w:val="28"/>
          <w:szCs w:val="28"/>
          <w:lang w:val="uk-UA"/>
        </w:rPr>
        <w:t>2.1. Нормативно-правові засади транскордонної ОВД.........................................2</w:t>
      </w:r>
      <w:r w:rsidR="00134B42">
        <w:rPr>
          <w:sz w:val="28"/>
          <w:szCs w:val="28"/>
          <w:lang w:val="uk-UA"/>
        </w:rPr>
        <w:t>7</w:t>
      </w:r>
      <w:r w:rsidRPr="00FC0CBD">
        <w:rPr>
          <w:sz w:val="28"/>
          <w:szCs w:val="28"/>
          <w:lang w:val="uk-UA"/>
        </w:rPr>
        <w:br/>
        <w:t>2.2. Застосування транскордонної ОВД в країнах Європейського Союзу..........</w:t>
      </w:r>
      <w:r w:rsidR="00134B42">
        <w:rPr>
          <w:sz w:val="28"/>
          <w:szCs w:val="28"/>
          <w:lang w:val="uk-UA"/>
        </w:rPr>
        <w:t>29</w:t>
      </w:r>
      <w:r w:rsidRPr="00FC0CBD">
        <w:rPr>
          <w:sz w:val="28"/>
          <w:szCs w:val="28"/>
          <w:lang w:val="uk-UA"/>
        </w:rPr>
        <w:br/>
        <w:t>2.3. Механізми міждержавної взаємодії та участі громадськості в процедурах ОВД............................................................................................................................3</w:t>
      </w:r>
      <w:r w:rsidR="00134B42">
        <w:rPr>
          <w:sz w:val="28"/>
          <w:szCs w:val="28"/>
          <w:lang w:val="uk-UA"/>
        </w:rPr>
        <w:t>1</w:t>
      </w:r>
      <w:r w:rsidRPr="00FC0CBD">
        <w:rPr>
          <w:sz w:val="28"/>
          <w:szCs w:val="28"/>
          <w:lang w:val="uk-UA"/>
        </w:rPr>
        <w:br/>
        <w:t>2.4. Аналіз транскордонних проєктів з оцінки впливу на довкілля.....................3</w:t>
      </w:r>
      <w:r w:rsidR="00134B42">
        <w:rPr>
          <w:sz w:val="28"/>
          <w:szCs w:val="28"/>
          <w:lang w:val="uk-UA"/>
        </w:rPr>
        <w:t>3</w:t>
      </w:r>
    </w:p>
    <w:p w14:paraId="61B800E9" w14:textId="29E6C39B" w:rsidR="00E62C75" w:rsidRPr="00FC0CBD" w:rsidRDefault="00000000">
      <w:pPr>
        <w:pStyle w:val="a8"/>
        <w:spacing w:beforeAutospacing="0" w:afterAutospacing="0" w:line="360" w:lineRule="auto"/>
        <w:ind w:rightChars="19" w:right="38"/>
        <w:jc w:val="both"/>
        <w:rPr>
          <w:sz w:val="28"/>
          <w:szCs w:val="28"/>
          <w:lang w:val="uk-UA"/>
        </w:rPr>
      </w:pPr>
      <w:r w:rsidRPr="00FC0CBD">
        <w:rPr>
          <w:sz w:val="28"/>
          <w:szCs w:val="28"/>
          <w:lang w:val="uk-UA"/>
        </w:rPr>
        <w:t>Висновки до розділу 2..............................................................................................3</w:t>
      </w:r>
      <w:r w:rsidR="00134B42">
        <w:rPr>
          <w:sz w:val="28"/>
          <w:szCs w:val="28"/>
          <w:lang w:val="uk-UA"/>
        </w:rPr>
        <w:t>6</w:t>
      </w:r>
    </w:p>
    <w:p w14:paraId="6B07C71B" w14:textId="2A06801A" w:rsidR="00E62C75" w:rsidRPr="00FC0CBD" w:rsidRDefault="00000000">
      <w:pPr>
        <w:pStyle w:val="3"/>
        <w:spacing w:beforeAutospacing="0" w:afterAutospacing="0" w:line="360" w:lineRule="auto"/>
        <w:ind w:rightChars="19" w:right="38"/>
        <w:jc w:val="both"/>
        <w:rPr>
          <w:rFonts w:ascii="Times New Roman" w:hAnsi="Times New Roman" w:hint="default"/>
          <w:b w:val="0"/>
          <w:bCs w:val="0"/>
          <w:sz w:val="28"/>
          <w:szCs w:val="28"/>
          <w:lang w:val="uk-UA"/>
        </w:rPr>
      </w:pPr>
      <w:r w:rsidRPr="00FC0CBD">
        <w:rPr>
          <w:rFonts w:ascii="Times New Roman" w:hAnsi="Times New Roman" w:hint="default"/>
          <w:b w:val="0"/>
          <w:bCs w:val="0"/>
          <w:sz w:val="28"/>
          <w:szCs w:val="28"/>
          <w:lang w:val="uk-UA"/>
        </w:rPr>
        <w:t>РОЗДІЛ 3. МОЖЛИВОСТІ ТА ВИКЛИКИ ВПРОВАДЖЕННЯ МІЖНАРОДНОГО ДОСВІДУ ТРАНСКОРДОННОЇ ОВД В УКРАЇНІ.............</w:t>
      </w:r>
      <w:r w:rsidR="00134B42">
        <w:rPr>
          <w:rFonts w:ascii="Times New Roman" w:hAnsi="Times New Roman" w:hint="default"/>
          <w:b w:val="0"/>
          <w:bCs w:val="0"/>
          <w:sz w:val="28"/>
          <w:szCs w:val="28"/>
          <w:lang w:val="uk-UA"/>
        </w:rPr>
        <w:t>38</w:t>
      </w:r>
    </w:p>
    <w:p w14:paraId="246E3632" w14:textId="3FF928A2" w:rsidR="00E62C75" w:rsidRPr="00FC0CBD" w:rsidRDefault="00000000">
      <w:pPr>
        <w:pStyle w:val="a8"/>
        <w:spacing w:beforeAutospacing="0" w:afterAutospacing="0" w:line="360" w:lineRule="auto"/>
        <w:ind w:rightChars="19" w:right="38"/>
        <w:jc w:val="both"/>
        <w:rPr>
          <w:sz w:val="28"/>
          <w:szCs w:val="28"/>
          <w:lang w:val="uk-UA"/>
        </w:rPr>
      </w:pPr>
      <w:r w:rsidRPr="00FC0CBD">
        <w:rPr>
          <w:sz w:val="28"/>
          <w:szCs w:val="28"/>
          <w:lang w:val="uk-UA"/>
        </w:rPr>
        <w:t>3.1. Нормативно-правове забезпечення оцінки впливу на довкілля в Україні...</w:t>
      </w:r>
      <w:r w:rsidR="00134B42">
        <w:rPr>
          <w:sz w:val="28"/>
          <w:szCs w:val="28"/>
          <w:lang w:val="uk-UA"/>
        </w:rPr>
        <w:t>38</w:t>
      </w:r>
      <w:r w:rsidRPr="00FC0CBD">
        <w:rPr>
          <w:sz w:val="28"/>
          <w:szCs w:val="28"/>
          <w:lang w:val="uk-UA"/>
        </w:rPr>
        <w:br/>
        <w:t>3.2. Проблеми реалізації транскордонної ОВД в Україні.....................................4</w:t>
      </w:r>
      <w:r w:rsidR="00134B42">
        <w:rPr>
          <w:sz w:val="28"/>
          <w:szCs w:val="28"/>
          <w:lang w:val="uk-UA"/>
        </w:rPr>
        <w:t>0</w:t>
      </w:r>
      <w:r w:rsidRPr="00FC0CBD">
        <w:rPr>
          <w:sz w:val="28"/>
          <w:szCs w:val="28"/>
          <w:lang w:val="uk-UA"/>
        </w:rPr>
        <w:t xml:space="preserve"> </w:t>
      </w:r>
      <w:r w:rsidRPr="00FC0CBD">
        <w:rPr>
          <w:sz w:val="28"/>
          <w:szCs w:val="28"/>
          <w:lang w:val="uk-UA"/>
        </w:rPr>
        <w:br/>
        <w:t>3.3. Перспективи адаптації європейських стандартів ОВД в умовах євроінтеграції............................................................................................................4</w:t>
      </w:r>
      <w:r w:rsidR="00134B42">
        <w:rPr>
          <w:sz w:val="28"/>
          <w:szCs w:val="28"/>
          <w:lang w:val="uk-UA"/>
        </w:rPr>
        <w:t>4</w:t>
      </w:r>
      <w:r w:rsidRPr="00FC0CBD">
        <w:rPr>
          <w:sz w:val="28"/>
          <w:szCs w:val="28"/>
          <w:lang w:val="uk-UA"/>
        </w:rPr>
        <w:br/>
        <w:t>3.4. Напрями вдосконалення системи транскордонної ОВД в Україні...............4</w:t>
      </w:r>
      <w:r w:rsidR="00134B42">
        <w:rPr>
          <w:sz w:val="28"/>
          <w:szCs w:val="28"/>
          <w:lang w:val="uk-UA"/>
        </w:rPr>
        <w:t>6</w:t>
      </w:r>
    </w:p>
    <w:p w14:paraId="3321D87C" w14:textId="66288CA9" w:rsidR="00E62C75" w:rsidRPr="00FC0CBD" w:rsidRDefault="00000000">
      <w:pPr>
        <w:pStyle w:val="a8"/>
        <w:spacing w:beforeAutospacing="0" w:afterAutospacing="0" w:line="360" w:lineRule="auto"/>
        <w:ind w:rightChars="19" w:right="38"/>
        <w:jc w:val="both"/>
        <w:rPr>
          <w:sz w:val="28"/>
          <w:szCs w:val="28"/>
          <w:lang w:val="uk-UA"/>
        </w:rPr>
      </w:pPr>
      <w:r w:rsidRPr="00FC0CBD">
        <w:rPr>
          <w:sz w:val="28"/>
          <w:szCs w:val="28"/>
          <w:lang w:val="uk-UA"/>
        </w:rPr>
        <w:t>Висновки до розділу 3..............................................................................................</w:t>
      </w:r>
      <w:r w:rsidR="00134B42">
        <w:rPr>
          <w:sz w:val="28"/>
          <w:szCs w:val="28"/>
          <w:lang w:val="uk-UA"/>
        </w:rPr>
        <w:t>49</w:t>
      </w:r>
    </w:p>
    <w:p w14:paraId="347AC8FE" w14:textId="3E3E18AA" w:rsidR="00E62C75" w:rsidRPr="00FC0CBD" w:rsidRDefault="00000000">
      <w:pPr>
        <w:pStyle w:val="a8"/>
        <w:spacing w:beforeAutospacing="0" w:afterAutospacing="0" w:line="360" w:lineRule="auto"/>
        <w:ind w:rightChars="19" w:right="38"/>
        <w:jc w:val="both"/>
        <w:rPr>
          <w:sz w:val="28"/>
          <w:szCs w:val="28"/>
          <w:lang w:val="uk-UA"/>
        </w:rPr>
      </w:pPr>
      <w:r w:rsidRPr="00FC0CBD">
        <w:rPr>
          <w:rStyle w:val="a4"/>
          <w:b w:val="0"/>
          <w:bCs w:val="0"/>
          <w:sz w:val="28"/>
          <w:szCs w:val="28"/>
          <w:lang w:val="uk-UA"/>
        </w:rPr>
        <w:t>ВИСНОВКИ..............................................................................................................5</w:t>
      </w:r>
      <w:r w:rsidR="00134B42">
        <w:rPr>
          <w:rStyle w:val="a4"/>
          <w:b w:val="0"/>
          <w:bCs w:val="0"/>
          <w:sz w:val="28"/>
          <w:szCs w:val="28"/>
          <w:lang w:val="uk-UA"/>
        </w:rPr>
        <w:t>1</w:t>
      </w:r>
    </w:p>
    <w:p w14:paraId="657D77BC" w14:textId="463CA55E" w:rsidR="00E62C75" w:rsidRPr="00FC0CBD" w:rsidRDefault="00000000">
      <w:pPr>
        <w:pStyle w:val="a8"/>
        <w:spacing w:beforeAutospacing="0" w:afterAutospacing="0" w:line="360" w:lineRule="auto"/>
        <w:ind w:rightChars="19" w:right="38"/>
        <w:jc w:val="both"/>
        <w:rPr>
          <w:sz w:val="28"/>
          <w:szCs w:val="28"/>
          <w:lang w:val="uk-UA"/>
        </w:rPr>
      </w:pPr>
      <w:r w:rsidRPr="00FC0CBD">
        <w:rPr>
          <w:rStyle w:val="a4"/>
          <w:b w:val="0"/>
          <w:bCs w:val="0"/>
          <w:sz w:val="28"/>
          <w:szCs w:val="28"/>
          <w:lang w:val="uk-UA"/>
        </w:rPr>
        <w:t>СПИСОК ВИКОРИСТАНИХ ДЖЕРЕЛ.................................................................5</w:t>
      </w:r>
      <w:r w:rsidR="00134B42">
        <w:rPr>
          <w:rStyle w:val="a4"/>
          <w:b w:val="0"/>
          <w:bCs w:val="0"/>
          <w:sz w:val="28"/>
          <w:szCs w:val="28"/>
          <w:lang w:val="uk-UA"/>
        </w:rPr>
        <w:t>3</w:t>
      </w:r>
    </w:p>
    <w:p w14:paraId="196761BB" w14:textId="794EA24E" w:rsidR="00E62C75" w:rsidRPr="00FC0CBD" w:rsidRDefault="00000000">
      <w:pPr>
        <w:pStyle w:val="a8"/>
        <w:spacing w:beforeAutospacing="0" w:afterAutospacing="0" w:line="360" w:lineRule="auto"/>
        <w:ind w:rightChars="19" w:right="38"/>
        <w:jc w:val="both"/>
        <w:rPr>
          <w:sz w:val="28"/>
          <w:szCs w:val="28"/>
          <w:lang w:val="uk-UA"/>
        </w:rPr>
      </w:pPr>
      <w:r w:rsidRPr="00FC0CBD">
        <w:rPr>
          <w:rStyle w:val="a4"/>
          <w:b w:val="0"/>
          <w:bCs w:val="0"/>
          <w:sz w:val="28"/>
          <w:szCs w:val="28"/>
          <w:lang w:val="uk-UA"/>
        </w:rPr>
        <w:t>ДОДАТКИ.................................................................................................................5</w:t>
      </w:r>
      <w:r w:rsidR="00134B42">
        <w:rPr>
          <w:rStyle w:val="a4"/>
          <w:b w:val="0"/>
          <w:bCs w:val="0"/>
          <w:sz w:val="28"/>
          <w:szCs w:val="28"/>
          <w:lang w:val="uk-UA"/>
        </w:rPr>
        <w:t>6</w:t>
      </w:r>
    </w:p>
    <w:p w14:paraId="2E1D1522" w14:textId="77777777" w:rsidR="00E62C75" w:rsidRPr="00FC0CBD" w:rsidRDefault="00E62C75">
      <w:pPr>
        <w:pStyle w:val="1"/>
        <w:spacing w:beforeAutospacing="0" w:afterAutospacing="0" w:line="360" w:lineRule="auto"/>
        <w:jc w:val="both"/>
        <w:rPr>
          <w:rFonts w:ascii="Times New Roman" w:hAnsi="Times New Roman" w:hint="default"/>
          <w:sz w:val="28"/>
          <w:szCs w:val="28"/>
          <w:lang w:val="uk-UA"/>
        </w:rPr>
      </w:pPr>
    </w:p>
    <w:p w14:paraId="2CC076CB" w14:textId="77777777" w:rsidR="00E62C75" w:rsidRPr="00FC0CBD" w:rsidRDefault="00000000">
      <w:pPr>
        <w:pStyle w:val="1"/>
        <w:spacing w:beforeAutospacing="0" w:afterAutospacing="0" w:line="360" w:lineRule="auto"/>
        <w:ind w:firstLineChars="214" w:firstLine="602"/>
        <w:jc w:val="center"/>
        <w:rPr>
          <w:rFonts w:ascii="Times New Roman" w:hAnsi="Times New Roman" w:hint="default"/>
          <w:sz w:val="28"/>
          <w:szCs w:val="28"/>
          <w:lang w:val="uk-UA"/>
        </w:rPr>
      </w:pPr>
      <w:r w:rsidRPr="00351FA3">
        <w:rPr>
          <w:rFonts w:ascii="Times New Roman" w:hAnsi="Times New Roman" w:hint="default"/>
          <w:sz w:val="28"/>
          <w:szCs w:val="28"/>
          <w:lang w:val="uk-UA"/>
        </w:rPr>
        <w:lastRenderedPageBreak/>
        <w:t>ВСТУП</w:t>
      </w:r>
    </w:p>
    <w:p w14:paraId="6E9A217C" w14:textId="77777777" w:rsidR="00E62C75" w:rsidRPr="00FC0CBD" w:rsidRDefault="00E62C75">
      <w:pPr>
        <w:rPr>
          <w:lang w:val="uk-UA"/>
        </w:rPr>
      </w:pPr>
    </w:p>
    <w:p w14:paraId="2A0386C9"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Сучасний етап розвитку світової економіки характеризується активізацією міжнародного співробітництва, розширенням транскордонної інфраструктури та реалізацією масштабних проєктів, вплив яких нерідко виходить за межі однієї держави. Будівництво транспортних коридорів, енергетичних об'єктів, гідротехнічних споруд, промислових комплексів та інших інфраструктурних об'єктів створює нові можливості для економічного розвитку регіонів, проте одночасно може спричиняти значний вплив на навколишнє природне середовище сусідніх країн. У таких умовах особливого значення набуває оцінка впливу на довкілля як інструмент запобігання екологічним ризикам та забезпечення збалансованого розвитку територій.</w:t>
      </w:r>
    </w:p>
    <w:p w14:paraId="6456A6DB"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Проблематика оцінки впливу на довкілля давно вийшла за межі національних екологічних політик. Глобалізаційні процеси, інтенсивне використання природних ресурсів та збільшення кількості міжнародних проєктів сприяли формуванню нових підходів до екологічного управління, заснованих на принципах міжнародного співробітництва, відкритості інформації та врахування інтересів усіх зацікавлених сторін. Особливої актуальності набувають питання транскордонної оцінки впливу на довкілля, коли діяльність, що планується на території однієї держави, може впливати на природні ресурси, екосистеми або населення іншої держави.</w:t>
      </w:r>
    </w:p>
    <w:p w14:paraId="6B4C1797"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Необхідність розвитку міжнародних механізмів екологічного співробітництва зумовлена тим, що природні системи не мають державних кордонів. Забруднення атмосферного повітря, транскордонне перенесення шкідливих речовин, вплив на водні ресурси міжнародних річкових басейнів, зміни біорізноманіття та інші екологічні наслідки можуть охоплювати території кількох країн одночасно. За таких обставин оцінка впливу на довкілля стає не лише процедурою екологічного контролю, а й важливим інструментом міжнародної взаємодії та попередження міждержавних конфліктів у сфері природокористування.</w:t>
      </w:r>
    </w:p>
    <w:p w14:paraId="6131FB9B"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lastRenderedPageBreak/>
        <w:t>Важливим етапом розвитку міжнародної системи транскордонної оцінки впливу на довкілля стало прийняття Конвенції про оцінку впливу на навколишнє середовище у транскордонному контексті, підписаної в місті Еспо у 1991 році. Цей документ заклав основу для формування міжнародних стандартів співробітництва між державами під час планування діяльності, здатної спричинити значний транскордонний вплив на довкілля. Надалі положення Конвенції були розвинуті в законодавстві Європейського Союзу та стали важливим елементом екологічної політики багатьох країн світу.</w:t>
      </w:r>
    </w:p>
    <w:p w14:paraId="558E5DF9"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Для України питання впровадження ефективних механізмів транскордонної оцінки впливу на довкілля набуває особливої ваги в умовах європейської інтеграції та адаптації національного законодавства до стандартів Європейського Союзу. Україна має спільні кордони з низкою держав, а значна частина природних ресурсів, зокрема річкові басейни, ліси, природоохоронні території та екосистеми, мають транскордонний характер. Реалізація масштабних інфраструктурних, енергетичних і промислових проєктів потребує врахування не лише національних екологічних інтересів, а й можливих наслідків для сусідніх країн.</w:t>
      </w:r>
    </w:p>
    <w:p w14:paraId="51B7EC2D"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Додаткового значення досліджувана проблема набуває в умовах післявоєнного відновлення України. Майбутня реалізація великої кількості проєктів з відбудови інфраструктури, енергетичного сектору, транспортних мереж та промислових об'єктів потребуватиме дотримання міжнародних екологічних стандартів. Від якості процедур оцінки впливу на довкілля значною мірою залежатиме не лише екологічна безпека територій, але й можливість залучення міжнародних інвестицій та фінансової підтримки від європейських інституцій.</w:t>
      </w:r>
    </w:p>
    <w:p w14:paraId="17EC6892"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xml:space="preserve">Питання оцінки впливу на довкілля та міжнародного екологічного співробітництва досліджували численні українські та зарубіжні науковці. Значний внесок у вивчення теоретичних засад екологічного управління, міжнародного природоохоронного права, екологічної безпеки та процедур оцінки впливу на довкілля зробили вітчизняні й іноземні дослідники. Разом із </w:t>
      </w:r>
      <w:r w:rsidRPr="00FC0CBD">
        <w:rPr>
          <w:sz w:val="28"/>
          <w:szCs w:val="28"/>
          <w:lang w:val="uk-UA"/>
        </w:rPr>
        <w:lastRenderedPageBreak/>
        <w:t>тим питання адаптації міжнародного досвіду транскордонної оцінки впливу на довкілля до українських умов залишаються недостатньо опрацьованими, особливо в контексті сучасних євроінтеграційних процесів та післявоєнного відновлення держави.</w:t>
      </w:r>
    </w:p>
    <w:p w14:paraId="637463EE" w14:textId="523DFC86"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Актуальність теми</w:t>
      </w:r>
      <w:r w:rsidRPr="00FC0CBD">
        <w:rPr>
          <w:sz w:val="28"/>
          <w:szCs w:val="28"/>
          <w:lang w:val="uk-UA"/>
        </w:rPr>
        <w:t xml:space="preserve"> дослідження визначається необхідністю вдосконалення національної системи оцінки впливу на довкілля, вивченням міжнародного досвіду реалізації транскордонних процедур ОВД, аналізом існуючих проблем та пошуком ефективних механізмів їх</w:t>
      </w:r>
      <w:r w:rsidR="00407EBF">
        <w:rPr>
          <w:sz w:val="28"/>
          <w:szCs w:val="28"/>
          <w:lang w:val="uk-UA"/>
        </w:rPr>
        <w:t>нього</w:t>
      </w:r>
      <w:r w:rsidRPr="00FC0CBD">
        <w:rPr>
          <w:sz w:val="28"/>
          <w:szCs w:val="28"/>
          <w:lang w:val="uk-UA"/>
        </w:rPr>
        <w:t xml:space="preserve"> вирішення відповідно до європейських стандартів екологічного управління.</w:t>
      </w:r>
    </w:p>
    <w:p w14:paraId="032A98D3"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Метою</w:t>
      </w:r>
      <w:r w:rsidRPr="00FC0CBD">
        <w:rPr>
          <w:sz w:val="28"/>
          <w:szCs w:val="28"/>
          <w:lang w:val="uk-UA"/>
        </w:rPr>
        <w:t xml:space="preserve"> дипломної роботи є дослідження міжнародного досвіду оцінки впливу на довкілля у транскордонних проєктах, визначення можливостей його використання в Україні та обґрунтування напрямів удосконалення національної системи транскордонної оцінки впливу на довкілля.</w:t>
      </w:r>
    </w:p>
    <w:p w14:paraId="143597B1"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xml:space="preserve">Для досягнення поставленої мети передбачено виконання таких </w:t>
      </w:r>
      <w:r w:rsidRPr="00FC0CBD">
        <w:rPr>
          <w:b/>
          <w:bCs/>
          <w:sz w:val="28"/>
          <w:szCs w:val="28"/>
          <w:lang w:val="uk-UA"/>
        </w:rPr>
        <w:t>завдань</w:t>
      </w:r>
      <w:r w:rsidRPr="00FC0CBD">
        <w:rPr>
          <w:sz w:val="28"/>
          <w:szCs w:val="28"/>
          <w:lang w:val="uk-UA"/>
        </w:rPr>
        <w:t>:</w:t>
      </w:r>
    </w:p>
    <w:p w14:paraId="67092E41"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розкрити сутність, зміст та основні принципи оцінки впливу на довкілля;</w:t>
      </w:r>
    </w:p>
    <w:p w14:paraId="664052FF"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дослідити етапи формування міжнародних підходів до проведення ОВД;</w:t>
      </w:r>
    </w:p>
    <w:p w14:paraId="4CBCE33E"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охарактеризувати особливості транскордонного виміру оцінки впливу на довкілля;</w:t>
      </w:r>
    </w:p>
    <w:p w14:paraId="05669CDD"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проаналізувати діяльність міжнародних інституцій та механізмів регулювання транскордонної ОВД;</w:t>
      </w:r>
    </w:p>
    <w:p w14:paraId="4C9C8DDF"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дослідити нормативно-правові засади транскордонної оцінки впливу на довкілля на міжнародному рівні;</w:t>
      </w:r>
    </w:p>
    <w:p w14:paraId="2CFB77B5"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проаналізувати практику застосування транскордонної ОВД в країнах Європейського Союзу;</w:t>
      </w:r>
    </w:p>
    <w:p w14:paraId="462C3079"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розглянути механізми міждержавної взаємодії та участі громадськості у процедурах оцінки впливу на довкілля;</w:t>
      </w:r>
    </w:p>
    <w:p w14:paraId="284C6401"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здійснити аналіз окремих транскордонних проєктів з оцінки впливу на довкілля;</w:t>
      </w:r>
    </w:p>
    <w:p w14:paraId="15A5503C"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дослідити сучасний стан нормативно-правового забезпечення оцінки впливу на довкілля в Україні;</w:t>
      </w:r>
    </w:p>
    <w:p w14:paraId="0203C76C"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lastRenderedPageBreak/>
        <w:t>– визначити основні проблеми реалізації транскордонної ОВД в українських умовах;</w:t>
      </w:r>
    </w:p>
    <w:p w14:paraId="6606217F"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оцінити перспективи адаптації європейських стандартів оцінки впливу на довкілля в процесі євроінтеграції України;</w:t>
      </w:r>
    </w:p>
    <w:p w14:paraId="143FE5E0"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розробити пропозиції щодо вдосконалення системи транскордонної оцінки впливу на довкілля в Україні.</w:t>
      </w:r>
    </w:p>
    <w:p w14:paraId="72627998"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Об'єктом дослідження</w:t>
      </w:r>
      <w:r w:rsidRPr="00FC0CBD">
        <w:rPr>
          <w:sz w:val="28"/>
          <w:szCs w:val="28"/>
          <w:lang w:val="uk-UA"/>
        </w:rPr>
        <w:t xml:space="preserve"> є система міжнародних відносин та механізмів співробітництва у сфері оцінки впливу на довкілля під час реалізації транскордонних проєктів.</w:t>
      </w:r>
    </w:p>
    <w:p w14:paraId="46DFB767"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Предметом дослідження</w:t>
      </w:r>
      <w:r w:rsidRPr="00FC0CBD">
        <w:rPr>
          <w:sz w:val="28"/>
          <w:szCs w:val="28"/>
          <w:lang w:val="uk-UA"/>
        </w:rPr>
        <w:t xml:space="preserve"> є міжнародний досвід організації та здійснення транскордонної оцінки впливу на довкілля, а також можливості його адаптації та впровадження в Україні.</w:t>
      </w:r>
    </w:p>
    <w:p w14:paraId="0F8BB593"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sz w:val="28"/>
          <w:szCs w:val="28"/>
          <w:lang w:val="uk-UA"/>
        </w:rPr>
        <w:t xml:space="preserve">У процесі дослідження використано комплекс загальнонаукових і спеціальних </w:t>
      </w:r>
      <w:r w:rsidRPr="00FC0CBD">
        <w:rPr>
          <w:b/>
          <w:bCs/>
          <w:sz w:val="28"/>
          <w:szCs w:val="28"/>
          <w:lang w:val="uk-UA"/>
        </w:rPr>
        <w:t>методів</w:t>
      </w:r>
      <w:r w:rsidRPr="00FC0CBD">
        <w:rPr>
          <w:sz w:val="28"/>
          <w:szCs w:val="28"/>
          <w:lang w:val="uk-UA"/>
        </w:rPr>
        <w:t>. Метод аналізу та синтезу застосовано для вивчення наукової літератури, міжнародних документів і нормативно-правових актів. Історичний метод дозволив дослідити еволюцію міжнародних підходів до оцінки впливу на довкілля. Порівняльно-правовий метод використано для зіставлення законодавства України та держав Європейського Союзу. Системний підхід забезпечив комплексне дослідження механізмів транскордонної ОВД. Метод узагальнення застосовано під час формування висновків і практичних рекомендацій.</w:t>
      </w:r>
    </w:p>
    <w:p w14:paraId="7DC182FE"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Інформаційну базу дослідження</w:t>
      </w:r>
      <w:r w:rsidRPr="00FC0CBD">
        <w:rPr>
          <w:sz w:val="28"/>
          <w:szCs w:val="28"/>
          <w:lang w:val="uk-UA"/>
        </w:rPr>
        <w:t xml:space="preserve"> становлять міжнародні конвенції, директиви Європейського Союзу, нормативно-правові акти України, офіційні матеріали міжнародних організацій, аналітичні звіти, статистичні дані, наукові публікації українських і зарубіжних учених, а також матеріали щодо реалізації транскордонних проєктів у різних країнах світу.</w:t>
      </w:r>
    </w:p>
    <w:p w14:paraId="03CB4C21"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Наукова новизна</w:t>
      </w:r>
      <w:r w:rsidRPr="00FC0CBD">
        <w:rPr>
          <w:sz w:val="28"/>
          <w:szCs w:val="28"/>
          <w:lang w:val="uk-UA"/>
        </w:rPr>
        <w:t xml:space="preserve"> роботи полягає у комплексному дослідженні міжнародного досвіду здійснення транскордонної оцінки впливу на довкілля та визначенні можливостей його практичного використання для вдосконалення української системи екологічного управління в умовах європейської інтеграції.</w:t>
      </w:r>
    </w:p>
    <w:p w14:paraId="29343939" w14:textId="77777777"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lastRenderedPageBreak/>
        <w:t>Практичне значення</w:t>
      </w:r>
      <w:r w:rsidRPr="00FC0CBD">
        <w:rPr>
          <w:sz w:val="28"/>
          <w:szCs w:val="28"/>
          <w:lang w:val="uk-UA"/>
        </w:rPr>
        <w:t xml:space="preserve"> одержаних результатів полягає в тому, що сформульовані висновки та рекомендації можуть бути використані органами державної влади, органами місцевого самоврядування, екологічними установами та суб'єктами господарювання під час удосконалення процедур оцінки впливу на довкілля та реалізації транскордонних проєктів відповідно до міжнародних стандартів.</w:t>
      </w:r>
    </w:p>
    <w:p w14:paraId="53841221" w14:textId="5855D5AE" w:rsidR="00E62C75" w:rsidRPr="00FC0CBD" w:rsidRDefault="00000000" w:rsidP="00407EBF">
      <w:pPr>
        <w:pStyle w:val="a8"/>
        <w:spacing w:beforeAutospacing="0" w:afterAutospacing="0" w:line="360" w:lineRule="auto"/>
        <w:ind w:firstLine="709"/>
        <w:jc w:val="both"/>
        <w:rPr>
          <w:sz w:val="28"/>
          <w:szCs w:val="28"/>
          <w:lang w:val="uk-UA"/>
        </w:rPr>
      </w:pPr>
      <w:r w:rsidRPr="00FC0CBD">
        <w:rPr>
          <w:b/>
          <w:bCs/>
          <w:sz w:val="28"/>
          <w:szCs w:val="28"/>
          <w:lang w:val="uk-UA"/>
        </w:rPr>
        <w:t xml:space="preserve">Структура </w:t>
      </w:r>
      <w:r w:rsidR="008D6F15">
        <w:rPr>
          <w:b/>
          <w:bCs/>
          <w:sz w:val="28"/>
          <w:szCs w:val="28"/>
          <w:lang w:val="uk-UA"/>
        </w:rPr>
        <w:t>кваліфікаційної</w:t>
      </w:r>
      <w:r w:rsidRPr="00FC0CBD">
        <w:rPr>
          <w:b/>
          <w:bCs/>
          <w:sz w:val="28"/>
          <w:szCs w:val="28"/>
          <w:lang w:val="uk-UA"/>
        </w:rPr>
        <w:t xml:space="preserve"> роботи</w:t>
      </w:r>
      <w:r w:rsidRPr="00FC0CBD">
        <w:rPr>
          <w:sz w:val="28"/>
          <w:szCs w:val="28"/>
          <w:lang w:val="uk-UA"/>
        </w:rPr>
        <w:t xml:space="preserve"> обумовлена метою та завданнями дослідження. Робота </w:t>
      </w:r>
      <w:r w:rsidR="00E5779B">
        <w:rPr>
          <w:sz w:val="28"/>
          <w:szCs w:val="28"/>
          <w:lang w:val="uk-UA"/>
        </w:rPr>
        <w:t xml:space="preserve">викладена на </w:t>
      </w:r>
      <w:r w:rsidR="00E5779B" w:rsidRPr="00351FA3">
        <w:rPr>
          <w:sz w:val="28"/>
          <w:szCs w:val="28"/>
          <w:lang w:val="uk-UA"/>
        </w:rPr>
        <w:t>5</w:t>
      </w:r>
      <w:r w:rsidR="00351FA3">
        <w:rPr>
          <w:sz w:val="28"/>
          <w:szCs w:val="28"/>
          <w:lang w:val="uk-UA"/>
        </w:rPr>
        <w:t>7</w:t>
      </w:r>
      <w:r w:rsidR="00E5779B">
        <w:rPr>
          <w:sz w:val="28"/>
          <w:szCs w:val="28"/>
          <w:lang w:val="uk-UA"/>
        </w:rPr>
        <w:t xml:space="preserve"> сторінках й </w:t>
      </w:r>
      <w:r w:rsidRPr="00FC0CBD">
        <w:rPr>
          <w:sz w:val="28"/>
          <w:szCs w:val="28"/>
          <w:lang w:val="uk-UA"/>
        </w:rPr>
        <w:t xml:space="preserve">складається зі вступу, трьох розділів, висновків, списку використаних джерел та додатків. </w:t>
      </w:r>
      <w:r w:rsidR="00E5779B">
        <w:rPr>
          <w:sz w:val="28"/>
          <w:szCs w:val="28"/>
          <w:lang w:val="uk-UA"/>
        </w:rPr>
        <w:t xml:space="preserve">  </w:t>
      </w:r>
    </w:p>
    <w:p w14:paraId="0CB84E57"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15A2049F"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03981744"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7CC13476"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1B068BE1"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6530F7B3"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229B7A60"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41B28161"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781A2B2B"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1EF71506"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07EE3929"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5913934A"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5F065CF7"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12295CD4"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57DAF679" w14:textId="77777777" w:rsidR="00E62C75" w:rsidRPr="00FC0CBD" w:rsidRDefault="00E62C75">
      <w:pPr>
        <w:pStyle w:val="a8"/>
        <w:spacing w:beforeAutospacing="0" w:afterAutospacing="0" w:line="360" w:lineRule="auto"/>
        <w:ind w:leftChars="-200" w:left="-400" w:rightChars="-546" w:right="-1092"/>
        <w:jc w:val="both"/>
        <w:rPr>
          <w:rStyle w:val="a4"/>
          <w:sz w:val="26"/>
          <w:szCs w:val="26"/>
          <w:lang w:val="uk-UA"/>
        </w:rPr>
      </w:pPr>
    </w:p>
    <w:p w14:paraId="42C749FA" w14:textId="77777777" w:rsidR="008D6F15" w:rsidRDefault="008D6F15">
      <w:pPr>
        <w:rPr>
          <w:rFonts w:ascii="Times New Roman" w:eastAsia="SimSun" w:hAnsi="Times New Roman" w:cs="Times New Roman"/>
          <w:b/>
          <w:bCs/>
          <w:sz w:val="28"/>
          <w:szCs w:val="28"/>
          <w:lang w:val="uk-UA"/>
        </w:rPr>
      </w:pPr>
      <w:r>
        <w:rPr>
          <w:b/>
          <w:bCs/>
          <w:sz w:val="28"/>
          <w:szCs w:val="28"/>
          <w:lang w:val="uk-UA"/>
        </w:rPr>
        <w:br w:type="page"/>
      </w:r>
    </w:p>
    <w:p w14:paraId="062E6869" w14:textId="180995DF" w:rsidR="00E62C75" w:rsidRPr="00FC0CBD" w:rsidRDefault="00000000">
      <w:pPr>
        <w:pStyle w:val="a8"/>
        <w:spacing w:beforeAutospacing="0" w:afterAutospacing="0" w:line="360" w:lineRule="auto"/>
        <w:ind w:rightChars="19" w:right="38" w:firstLineChars="214" w:firstLine="602"/>
        <w:jc w:val="center"/>
        <w:rPr>
          <w:b/>
          <w:bCs/>
          <w:sz w:val="28"/>
          <w:szCs w:val="28"/>
          <w:lang w:val="uk-UA"/>
        </w:rPr>
      </w:pPr>
      <w:r w:rsidRPr="00FC0CBD">
        <w:rPr>
          <w:b/>
          <w:bCs/>
          <w:sz w:val="28"/>
          <w:szCs w:val="28"/>
          <w:lang w:val="uk-UA"/>
        </w:rPr>
        <w:lastRenderedPageBreak/>
        <w:t>РОЗДІЛ 1. ТЕОРЕТИКО-МЕТОДОЛОГІЧНІ ОСНОВИ ТРАНСКОРДОННОЇ ОЦІНКИ ВПЛИВУ НА ДОВКІЛЛЯ (ОВД)</w:t>
      </w:r>
    </w:p>
    <w:p w14:paraId="3D683F90" w14:textId="77777777" w:rsidR="00E62C75" w:rsidRPr="00FC0CBD" w:rsidRDefault="00E62C75" w:rsidP="00E5779B">
      <w:pPr>
        <w:pStyle w:val="a8"/>
        <w:spacing w:beforeAutospacing="0" w:afterAutospacing="0" w:line="360" w:lineRule="auto"/>
        <w:ind w:rightChars="19" w:right="38" w:firstLine="709"/>
        <w:jc w:val="both"/>
        <w:rPr>
          <w:sz w:val="28"/>
          <w:szCs w:val="28"/>
          <w:lang w:val="uk-UA"/>
        </w:rPr>
      </w:pPr>
    </w:p>
    <w:p w14:paraId="635B52B9" w14:textId="77777777" w:rsidR="00E62C75" w:rsidRPr="00FC0CBD" w:rsidRDefault="00000000" w:rsidP="00E5779B">
      <w:pPr>
        <w:pStyle w:val="a8"/>
        <w:numPr>
          <w:ilvl w:val="1"/>
          <w:numId w:val="2"/>
        </w:numPr>
        <w:spacing w:beforeAutospacing="0" w:afterAutospacing="0" w:line="360" w:lineRule="auto"/>
        <w:ind w:rightChars="19" w:right="38" w:firstLine="709"/>
        <w:jc w:val="both"/>
        <w:rPr>
          <w:b/>
          <w:bCs/>
          <w:sz w:val="28"/>
          <w:szCs w:val="28"/>
          <w:lang w:val="uk-UA"/>
        </w:rPr>
      </w:pPr>
      <w:r w:rsidRPr="00FC0CBD">
        <w:rPr>
          <w:b/>
          <w:bCs/>
          <w:sz w:val="28"/>
          <w:szCs w:val="28"/>
          <w:lang w:val="uk-UA"/>
        </w:rPr>
        <w:t>Поняття, цілі та принципи оцінки впливу на довкілля</w:t>
      </w:r>
    </w:p>
    <w:p w14:paraId="41817420"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сучасних умовах стрімкого розвитку промисловості, транспорту, енергетики та інших сфер господарської діяльності особливої актуальності набуває питання забезпечення екологічної безпеки. Реалізація будь-якого масштабного проєкту пов'язана не лише з економічними перевагами, а й із можливими негативними наслідками для навколишнього природного середовища. Саме тому ще на етапі планування діяльності виникає потреба у визначенні потенційного впливу майбутніх рішень на стан довкілля, здоров'я населення та природні ресурси. Одним із найважливіших інструментів такого прогнозування виступає оцінка впливу на довкілля.</w:t>
      </w:r>
    </w:p>
    <w:p w14:paraId="1E50BF34"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Оцінка впливу на довкілля є одним із ключових механізмів екологічного управління, який використовується в більшості країн світу для запобігання або мінімізації негативного впливу господарської діяльності на природне середовище. Її поява стала результатом усвідомлення того, що ліквідація екологічних наслідків після реалізації проєкту потребує значно більших ресурсів, ніж їх попередження на стадії планування. Саме тому сучасна екологічна політика багатьох держав базується на принципі превентивності, відповідно до якого потенційні ризики повинні оцінюватися до початку реалізації запланованої діяльності [2].</w:t>
      </w:r>
    </w:p>
    <w:p w14:paraId="1AC3DD9F"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Поняття оцінки впливу на довкілля сформувалося у другій половині ХХ століття. Поштовхом до його розвитку стали глобальні екологічні проблеми, які виникли внаслідок інтенсивної індустріалізації та нераціонального використання природних ресурсів. Першою державою, яка законодавчо закріпила процедуру екологічної оцінки, стали Сполучені Штати Америки. У 1969 році було прийнято Національний закон про охорону навколишнього середовища (National Environmental Policy Act − NEPA), який започаткував обов'язкове проведення оцінки впливу запланованої діяльності на навколишнє середовище. Згодом цей </w:t>
      </w:r>
      <w:r w:rsidRPr="00FC0CBD">
        <w:rPr>
          <w:sz w:val="28"/>
          <w:szCs w:val="28"/>
          <w:lang w:val="uk-UA"/>
        </w:rPr>
        <w:lastRenderedPageBreak/>
        <w:t>підхід був запозичений багатьма країнами світу та став основою для формування міжнародних стандартів екологічного управління.</w:t>
      </w:r>
    </w:p>
    <w:p w14:paraId="6719EB49"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широкому розумінні оцінка впливу на довкілля являє собою систематичний процес виявлення, аналізу, прогнозування та оцінювання можливих екологічних наслідків запланованої діяльності ще до ухвалення рішення про її реалізацію. Основною метою цього процесу є забезпечення прийняття обґрунтованих управлінських рішень з урахуванням екологічних факторів, соціальних наслідків та інтересів громадськості [10].</w:t>
      </w:r>
    </w:p>
    <w:p w14:paraId="68643725"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В українському законодавстві поняття оцінки впливу на довкілля визначено Законом України «Про оцінку впливу на довкілля», прийнятим у 2017 році. Відповідно до закону, оцінка впливу на довкілля являє собою процедуру, яка передбачає визначення, аналіз та врахування можливого впливу планованої діяльності на довкілля під час прийняття рішення про її провадження. Законодавче закріплення цієї процедури стало важливим кроком на шляху гармонізації українського екологічного законодавства з нормами Європейського Союзу та міжнародними стандартами охорони навколишнього природного середовища [3].</w:t>
      </w:r>
    </w:p>
    <w:p w14:paraId="67A4684C"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Сутність оцінки впливу на довкілля полягає не лише у виявленні потенційних екологічних загроз, а й у пошуку шляхів їх запобігання або зменшення. Важливою особливістю процедури є комплексний підхід до аналізу впливів. Під час проведення оцінки враховуються можливі зміни стану атмосферного повітря, водних ресурсів, ґрунтів, рослинного та тваринного світу, кліматичних умов, ландшафтів, природно-заповідного фонду, а також вплив на здоров'я та умови життя населення.</w:t>
      </w:r>
    </w:p>
    <w:p w14:paraId="29420DFE"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сучасній науковій літературі оцінка впливу на довкілля розглядається як складова системи сталого розвитку. Концепція сталого розвитку передбачає досягнення балансу між економічним зростанням, соціальним добробутом та охороною навколишнього середовища. Саме процедура ОВД дозволяє враховувати екологічні аспекти під час реалізації економічних проєктів та забезпечувати гармонійне поєднання інтересів суспільства, держави та бізнесу.</w:t>
      </w:r>
    </w:p>
    <w:p w14:paraId="661F8FB4"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lastRenderedPageBreak/>
        <w:t>Головною метою оцінки впливу на довкілля є забезпечення екологічно безпечного розвитку шляхом попередження або мінімізації негативних наслідків господарської діяльності. Досягнення цієї мети реалізується через виконання низки взаємопов'язаних завдань [12].</w:t>
      </w:r>
    </w:p>
    <w:p w14:paraId="63D8E2B3"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Одним із першочергових завдань ОВД є прогнозування можливих екологічних наслідків запланованої діяльності. На цьому етапі здійснюється аналіз потенційних ризиків, визначаються джерела забруднення та оцінюється масштаб можливого впливу на навколишнє середовище. Отримані результати дозволяють своєчасно виявити потенційні загрози та розробити заходи щодо їх усунення.</w:t>
      </w:r>
    </w:p>
    <w:p w14:paraId="127DE5F7"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Важливим завданням є забезпечення врахування екологічних факторів під час прийняття управлінських рішень. Часто економічна доцільність проєкту може вступати у суперечність із вимогами екологічної безпеки. Саме оцінка впливу на довкілля забезпечує отримання об'єктивної інформації про можливі наслідки діяльності та сприяє прийняттю збалансованих рішень [16].</w:t>
      </w:r>
    </w:p>
    <w:p w14:paraId="02EBEEA7"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Ще однією важливою метою є підвищення рівня прозорості процесу ухвалення рішень. Сучасні міжнародні стандарти передбачають активне залучення громадськості до процедур оцінки впливу на довкілля. Населення отримує можливість ознайомлюватися з інформацією про заплановану діяльність, висловлювати свої зауваження та пропозиції, а також брати участь у громадських обговореннях. Такий підхід сприяє формуванню довіри між органами влади, інвесторами та місцевими громадами.</w:t>
      </w:r>
    </w:p>
    <w:p w14:paraId="302F3FCE"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Не менш важливим завданням виступає запобігання виникненню екологічних конфліктів. У багатьох випадках реалізація масштабних інфраструктурних або промислових проєктів викликає занепокоєння населення через можливі негативні наслідки для довкілля та здоров'я людей. Проведення якісної оцінки впливу на довкілля дозволяє виявити потенційні проблеми ще до початку реалізації проєкту та знайти компромісні рішення [17].</w:t>
      </w:r>
    </w:p>
    <w:p w14:paraId="1FAF9217"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Серед цілей ОВД також важливе місце займає збереження природних ресурсів для майбутніх поколінь. Використання водних ресурсів, земель, лісів, </w:t>
      </w:r>
      <w:r w:rsidRPr="00FC0CBD">
        <w:rPr>
          <w:sz w:val="28"/>
          <w:szCs w:val="28"/>
          <w:lang w:val="uk-UA"/>
        </w:rPr>
        <w:lastRenderedPageBreak/>
        <w:t>корисних копалин та інших природних багатств повинно здійснюватися з урахуванням принципів раціонального природокористування. Оцінка впливу на довкілля дозволяє оцінити довгострокові наслідки реалізації проєктів та сприяє збереженню екологічної рівноваги.</w:t>
      </w:r>
    </w:p>
    <w:p w14:paraId="2D843514"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Функціонування системи оцінки впливу на довкілля ґрунтується на низці принципів, які визначають її зміст та практичне застосування. Одним із базових принципів є принцип превентивності. Його сутність полягає в тому, що потенційна шкода довкіллю повинна бути виявлена та попереджена ще до початку реалізації діяльності. Цей принцип є основою сучасної екологічної політики та широко використовується в міжнародному праві [21].</w:t>
      </w:r>
    </w:p>
    <w:p w14:paraId="43F506FF"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Важливе значення має принцип сталого розвитку. Він передбачає необхідність забезпечення балансу між економічними, соціальними та екологічними інтересами. Усі рішення щодо реалізації проєктів повинні прийматися з урахуванням не лише короткострокових економічних вигод, а й довгострокових екологічних наслідків.</w:t>
      </w:r>
    </w:p>
    <w:p w14:paraId="2A1A5076"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Одним із ключових принципів сучасної ОВД є принцип відкритості та доступності інформації. Громадяни мають право отримувати повну та достовірну інформацію про можливий вплив запланованої діяльності на довкілля. Реалізація цього принципу забезпечує прозорість процедур та підвищує рівень суспільної довіри до прийнятих рішень.</w:t>
      </w:r>
    </w:p>
    <w:p w14:paraId="4E8D80F4"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Тісно пов'язаним із попереднім є принцип участі громадськості. Його значення особливо зросло після прийняття Орхуської конвенції, яка закріпила право громадян брати участь у процесах прийняття екологічно значущих рішень. Участь громадськості дозволяє враховувати інтереси місцевих громад та підвищує якість екологічної оцінки.</w:t>
      </w:r>
    </w:p>
    <w:p w14:paraId="2598F26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Наступним важливим принципом є принцип наукової обґрунтованості. Висновки оцінки впливу на довкілля повинні базуватися на достовірних даних, сучасних наукових дослідженнях, результатах моніторингу та об'єктивних розрахунках. Використання неперевіреної або неповної інформації може призвести до помилкових рішень та негативних екологічних наслідків [28].</w:t>
      </w:r>
    </w:p>
    <w:p w14:paraId="7798F4A5"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lastRenderedPageBreak/>
        <w:t>Значне місце посідає принцип комплексності. Він передбачає врахування всіх можливих впливів діяльності на довкілля, включаючи прямі, непрямі, короткострокові, довгострокові, кумулятивні та транскордонні наслідки. Лише комплексний аналіз дозволяє сформувати повне уявлення про можливі екологічні ризики.</w:t>
      </w:r>
    </w:p>
    <w:p w14:paraId="41EE4EDC"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міжнародній практиці дедалі більшого значення набуває принцип транскордонного співробітництва. Якщо діяльність може впливати на довкілля інших держав, зацікавлені країни повинні бути поінформовані та залучені до процесу оцінки. Реалізація цього принципу сприяє зміцненню міжнародного партнерства та підвищує ефективність екологічного управління [10].</w:t>
      </w:r>
    </w:p>
    <w:p w14:paraId="6E541D91"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Окремо слід виділити принцип відповідальності суб'єкта господарювання. Замовник проєкту несе відповідальність за повноту та достовірність інформації, яка подається в рамках процедури оцінки впливу на довкілля, а також за виконання екологічних умов, визначених у висновку ОВД.</w:t>
      </w:r>
    </w:p>
    <w:p w14:paraId="0802A3A6" w14:textId="0F666164"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сучасних умовах оцінка впливу на довкілля перетворилася на один із найважливіших інструментів забезпечення екологічної безпеки та сталого розвитку. Вона дозволяє поєднати інтереси економічного розвитку з необхідністю збереження природного середовища, сприяє підвищенню екологічної відповідальності суб'єктів господарювання та забезпечує врахування інтересів суспільства під час прийняття управлінських рішень. Особливого значення ця процедура набуває у випадках реалізації транскордонних проєктів, де екологічні наслідки можуть поширюватися за межі однієї держави та потребують міжнародної координації й співробітництва. Саме тому подальше дослідження міжнародних підходів до оцінки впливу на довкілля є важливим для розуміння особливостей функціонування сучасної системи транскордонної ОВД та можливостей її розвитку в Україні.</w:t>
      </w:r>
    </w:p>
    <w:p w14:paraId="684CCD67" w14:textId="77777777" w:rsidR="00E62C75" w:rsidRPr="00FC0CBD" w:rsidRDefault="00000000" w:rsidP="00E5779B">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1.2. Формування та розвиток міжнародних підходів до оцінки впливу на довкілля</w:t>
      </w:r>
    </w:p>
    <w:p w14:paraId="6570C7C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Сьогодні оцінка впливу на довкілля є звичною частиною процесу планування багатьох проєктів у різних країнах світу. Проте така практика </w:t>
      </w:r>
      <w:r w:rsidRPr="00FC0CBD">
        <w:rPr>
          <w:sz w:val="28"/>
          <w:szCs w:val="28"/>
          <w:lang w:val="uk-UA"/>
        </w:rPr>
        <w:lastRenderedPageBreak/>
        <w:t>сформувалася не відразу. Її виникнення стало наслідком тривалого розвитку міжнародної екологічної політики та поступового усвідомлення того, що економічне зростання не може відбуватися без урахування можливих наслідків для навколишнього середовища. Досвід багатьох держав показав, що нехтування екологічними аспектами під час реалізації великих проєктів часто призводить до серйозних проблем, усунення яких потребує значних фінансових ресурсів і тривалого часу [16].</w:t>
      </w:r>
    </w:p>
    <w:p w14:paraId="32ADE614"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Після Другої світової війни світова економіка почала активно розвиватися. У багатьох країнах будувалися нові промислові підприємства, електростанції, транспортні магістралі, гідротехнічні споруди. З одного боку, це сприяло економічному зростанню та підвищенню рівня життя населення. З іншого боку, швидка індустріалізація супроводжувалася забрудненням повітря, водних ресурсів і земель, виснаженням природних ресурсів та погіршенням стану екосистем.</w:t>
      </w:r>
    </w:p>
    <w:p w14:paraId="5460689A"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1950-1960-х роках у багатьох країнах почали дедалі частіше виникати екологічні кризи, які привернули увагу суспільства до проблем охорони довкілля. Значний суспільний резонанс викликали випадки масового забруднення водних об'єктів, аварії на промислових підприємствах, загибель риби та диких тварин, погіршення якості атмосферного повітря у великих містах. Поступово стало зрозуміло, що реагування на наслідки вже після їх виникнення не є ефективним підходом. Набагато важливіше передбачати можливі ризики ще до початку реалізації проєкту [17].</w:t>
      </w:r>
    </w:p>
    <w:p w14:paraId="1199C5E6"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Саме в цей період почали формуватися перші елементи сучасної системи оцінки впливу на довкілля. Найбільш вагомий внесок у її розвиток зробили Сполучені Штати Америки. У 1969 році там було ухвалено Національний закон про екологічну політику (National Environmental Policy Act, або скорочено NEPA), який набув чинності у 1970 році. Багато дослідників вважають цей документ відправною точкою розвитку сучасної оцінки впливу на довкілля.</w:t>
      </w:r>
    </w:p>
    <w:p w14:paraId="5349B5E3"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Особливістю закону стало те, що він зобов'язував державні органи оцінювати можливі екологічні наслідки запланованої діяльності ще до прийняття </w:t>
      </w:r>
      <w:r w:rsidRPr="00FC0CBD">
        <w:rPr>
          <w:sz w:val="28"/>
          <w:szCs w:val="28"/>
          <w:lang w:val="uk-UA"/>
        </w:rPr>
        <w:lastRenderedPageBreak/>
        <w:t>остаточного рішення щодо її реалізації. Для цього почали готуватися спеціальні екологічні звіти, у яких аналізувалися потенційні ризики та пропонувалися шляхи їх зменшення. На той час такий підхід був новаторським, адже екологічні питання вперше стали обов'язковою частиною процесу державного управління [21].</w:t>
      </w:r>
    </w:p>
    <w:p w14:paraId="4DD39B2F"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Американський досвід швидко привернув увагу інших країн. Уже протягом 1970-х років окремі елементи оцінки впливу на довкілля почали впроваджуватися в Канаді, Австралії та Новій Зеландії. Згодом подібні механізми з'явилися в більшості розвинених держав світу. Хоча процедури могли відрізнятися між собою, їх об'єднувала спільна ідея: будь-яка діяльність, здатна суттєво вплинути на довкілля, повинна проходити попередню екологічну оцінку.</w:t>
      </w:r>
    </w:p>
    <w:p w14:paraId="49F52C1F"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Важливу роль у розвитку міжнародних підходів до ОВД відіграла Конференція Організації Об'єднаних Націй з проблем навколишнього середовища людини, яка відбулася у Стокгольмі в 1972 році. Саме ця конференція стала першим масштабним міжнародним форумом, присвяченим екологічним проблемам глобального рівня. Учасники конференції наголосили на необхідності поєднання економічного розвитку з охороною довкілля та закликали держави посилювати екологічне регулювання [18].</w:t>
      </w:r>
    </w:p>
    <w:p w14:paraId="5DAA7721"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Стокгольмська конференція не запровадила безпосередньо процедуру оцінки впливу на довкілля, але створила основу для подальшого розвитку міжнародного екологічного права. Після її проведення питання екологічної безпеки почали дедалі активніше включатися до національних програм розвитку багатьох країн.</w:t>
      </w:r>
    </w:p>
    <w:p w14:paraId="6FA90CF8"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Наступним важливим етапом став розвиток міжнародного співробітництва у сфері охорони довкілля впродовж 1980-х років. Саме тоді почали активно обговорюватися проблеми, які виходили за межі окремих держав. Забруднення річок, кислотні дощі, транскордонне забруднення повітря, скорочення біорізноманіття та інші екологічні проблеми показали, що природне середовище не визнає державних кордонів. Через це виникла потреба не лише в національних, а й у міжнародних механізмах оцінки екологічних наслідків [22].</w:t>
      </w:r>
    </w:p>
    <w:p w14:paraId="43637A15"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lastRenderedPageBreak/>
        <w:t>Значний вплив на розвиток екологічної політики справила доповідь Міжнародної комісії з навколишнього середовища та розвитку «Наше спільне майбутнє», опублікована у 1987 році. Саме в цьому документі було сформульовано концепцію сталого розвитку, яка надалі стала основою багатьох міжнародних екологічних програм. Основна ідея полягала в тому, що сучасне покоління повинно задовольняти свої потреби без загрози для можливостей майбутніх поколінь.</w:t>
      </w:r>
    </w:p>
    <w:p w14:paraId="5A4F585C"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Поступово принципи сталого розвитку почали інтегруватися й у процедури оцінки впливу на довкілля. Відтепер увага приділялася не лише безпосереднім екологічним наслідкам проєкту, а й його соціальним та економічним аспектам.</w:t>
      </w:r>
    </w:p>
    <w:p w14:paraId="30FDAE5E"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Однією з найважливіших подій у розвитку міжнародних підходів до ОВД стало прийняття у 1991 році Конвенції про оцінку впливу на навколишнє середовище у транскордонному контексті, більш відомої як Конвенція Еспо. Документ був ухвалений під егідою Європейської економічної комісії ООН у фінському місті Еспо [29].</w:t>
      </w:r>
    </w:p>
    <w:p w14:paraId="0F172A09"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Конвенція стала першим міжнародним договором, який безпосередньо регулював питання транскордонної оцінки впливу на довкілля. Вона встановила обов'язок держав повідомляти одна одну про діяльність, яка може спричинити значний негативний вплив за межами країни походження проєкту. Крім того, документ передбачив проведення консультацій між державами та залучення громадськості до процесу ухвалення рішень.</w:t>
      </w:r>
    </w:p>
    <w:p w14:paraId="06B4659A"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Для розвитку міжнародної системи ОВД Конвенція Еспо мала надзвичайно важливе значення. Вона фактично закріпила принцип міжнародної відповідальності держав за можливі екологічні наслідки своєї діяльності та створила правові механізми співробітництва у сфері екологічної безпеки [31].</w:t>
      </w:r>
    </w:p>
    <w:p w14:paraId="51AA7F9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Ще одним важливим кроком стало проведення у 1992 році Конференції ООН з навколишнього середовища та розвитку в Ріо-де-Жанейро. За підсумками конференції було прийнято низку міжнародних документів, серед яких особливе місце займає Декларація Ріо з навколишнього середовища та розвитку. У ній </w:t>
      </w:r>
      <w:r w:rsidRPr="00FC0CBD">
        <w:rPr>
          <w:sz w:val="28"/>
          <w:szCs w:val="28"/>
          <w:lang w:val="uk-UA"/>
        </w:rPr>
        <w:lastRenderedPageBreak/>
        <w:t>закріплено принципи запобігання екологічній шкоді, участі громадськості в екологічному управлінні та доступу до екологічної інформації.</w:t>
      </w:r>
    </w:p>
    <w:p w14:paraId="14EE8C7E"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Саме після конференції в Ріо оцінка впливу на довкілля почала розглядатися не лише як технічна процедура, а як важливий елемент демократичного управління та сталого розвитку [36].</w:t>
      </w:r>
    </w:p>
    <w:p w14:paraId="1E908B2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Подальший розвиток міжнародних підходів до ОВД значною мірою пов'язаний із діяльністю Європейського Союзу. У 1985 році була прийнята перша Директива ЄС щодо оцінки впливу окремих державних і приватних проєктів на навколишнє середовище. У наступні роки вона неодноразово оновлювалася та доповнювалася відповідно до нових екологічних викликів.</w:t>
      </w:r>
    </w:p>
    <w:p w14:paraId="2A38092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Європейська модель оцінки впливу на довкілля поступово стала одним із найбільш авторитетних зразків екологічного регулювання. Вона базується на принципах превентивності, відкритості інформації, участі громадськості, наукової обґрунтованості та врахування транскордонних наслідків. Саме ці підходи сьогодні використовуються більшістю держав Європи [32].</w:t>
      </w:r>
    </w:p>
    <w:p w14:paraId="42C4D64B"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Важливим напрямом розвитку міжнародної системи ОВД стало посилення ролі громадськості. У 1998 році була прийнята Орхуська конвенція, яка гарантувала громадянам право на доступ до екологічної інформації, участь у прийнятті екологічно значущих рішень та доступ до правосуддя у питаннях довкілля. Завдяки цьому процедура оцінки впливу на довкілля стала більш відкритою та прозорою.</w:t>
      </w:r>
    </w:p>
    <w:p w14:paraId="145DD803"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Протягом останніх двох десятиліть міжнародні підходи до ОВД продовжують удосконалюватися. Серед нових тенденцій можна відзначити врахування питань зміни клімату, оцінку ризиків для біорізноманіття, використання цифрових технологій під час проведення консультацій та поширення екологічної інформації. Крім того, дедалі більше уваги приділяється оцінці кумулятивних впливів, тобто впливів, які виникають у результаті сукупної дії кількох проєктів на одній території.</w:t>
      </w:r>
    </w:p>
    <w:p w14:paraId="6F34999E"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На сучасному етапі оцінка впливу на довкілля стала невід'ємною складовою міжнародної екологічної політики. Вона використовується не лише </w:t>
      </w:r>
      <w:r w:rsidRPr="00FC0CBD">
        <w:rPr>
          <w:sz w:val="28"/>
          <w:szCs w:val="28"/>
          <w:lang w:val="uk-UA"/>
        </w:rPr>
        <w:lastRenderedPageBreak/>
        <w:t>як інструмент захисту навколишнього середовища, а й як механізм забезпечення сталого розвитку, міждержавного співробітництва та врахування інтересів громадськості. Багаторічний досвід різних країн показує, що ефективна система ОВД дозволяє зменшувати екологічні ризики, підвищувати якість управлінських рішень і сприяти більш відповідальному використанню природних ресурсів. Саме тому вивчення міжнародного досвіду формування та розвитку оцінки впливу на довкілля має важливе значення для подальшого вдосконалення національних систем екологічного управління, зокрема й в Україні.</w:t>
      </w:r>
    </w:p>
    <w:p w14:paraId="343DCCF0" w14:textId="77777777" w:rsidR="00E62C75" w:rsidRPr="00FC0CBD" w:rsidRDefault="00000000" w:rsidP="00E5779B">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1.3. Транскордонний вимір оцінки впливу на довкілля</w:t>
      </w:r>
    </w:p>
    <w:p w14:paraId="41EBEF0D"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У сучасних умовах екологічні проблеми дедалі рідше обмежуються територією однієї держави. Розвиток промисловості, енергетики, транспортної інфраструктури та міжнародної торгівлі спричиняє зростання антропогенного навантаження на навколишнє природне середовище. При цьому негативні наслідки господарської діяльності можуть поширюватися далеко за межі країни, де знаходиться джерело впливу. Саме тому в міжнародному екологічному праві сформувався окремий напрям, пов'язаний із транскордонною оцінкою впливу на довкілля.</w:t>
      </w:r>
    </w:p>
    <w:p w14:paraId="133E93BA"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Транскордонний вимір оцінки впливу на довкілля базується на розумінні того, що природне середовище є єдиною системою, яка не визнає державних кордонів. Атмосферні потоки, річкові басейни, морські акваторії, міграційні шляхи тварин та інші природні компоненти функціонують незалежно від політичного поділу територій. Через це діяльність, що здійснюється в межах однієї країни, може безпосередньо впливати на стан довкілля сусідніх держав.</w:t>
      </w:r>
    </w:p>
    <w:p w14:paraId="62B5FD6B"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Особливої актуальності проблема транскордонного впливу набула у другій половині ХХ століття. Масштабна індустріалізація, будівництво великих енергетичних об'єктів та зростання використання природних ресурсів супроводжувалися численними випадками транскордонного забруднення. Кислотні дощі в Європі, забруднення міжнародних річок, аварії на промислових підприємствах та радіаційні катастрофи продемонстрували, що екологічні </w:t>
      </w:r>
      <w:r w:rsidRPr="00FC0CBD">
        <w:rPr>
          <w:sz w:val="28"/>
          <w:szCs w:val="28"/>
          <w:lang w:val="uk-UA"/>
        </w:rPr>
        <w:lastRenderedPageBreak/>
        <w:t>ризики можуть поширюватися на значні відстані та зачіпати інтереси кількох держав одночасно [3].</w:t>
      </w:r>
    </w:p>
    <w:p w14:paraId="7AC7CA35" w14:textId="2520D583"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 xml:space="preserve">Одним із найвідоміших прикладів транскордонного впливу стала аварія на Чорнобильській атомній електростанції у 1986 році. Наслідки катастрофи відчули не лише Україна, Білорусь і </w:t>
      </w:r>
      <w:r w:rsidR="00E5779B">
        <w:rPr>
          <w:sz w:val="28"/>
          <w:szCs w:val="28"/>
          <w:lang w:val="uk-UA"/>
        </w:rPr>
        <w:t>Р</w:t>
      </w:r>
      <w:r w:rsidRPr="00FC0CBD">
        <w:rPr>
          <w:sz w:val="28"/>
          <w:szCs w:val="28"/>
          <w:lang w:val="uk-UA"/>
        </w:rPr>
        <w:t>осія, але й багато інших європейських країн. Ця подія стала одним із поштовхів до розвитку міжнародних механізмів співробітництва у сфері екологічної безпеки та оцінки впливу на довкілля.</w:t>
      </w:r>
    </w:p>
    <w:p w14:paraId="5DA55960"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Під транскордонним впливом у міжнародній практиці розуміють будь-які значні негативні наслідки діяльності, що здійснюється на території однієї держави та можуть виникнути на території іншої держави. Такий вплив може стосуватися як окремих компонентів природного середовища, так і здоров'я населення, соціально-економічних умов проживання, природних ресурсів та об'єктів природно-заповідного фонду [4].</w:t>
      </w:r>
    </w:p>
    <w:p w14:paraId="2B62971C" w14:textId="77777777" w:rsidR="00E62C75" w:rsidRPr="00FC0CBD" w:rsidRDefault="00000000" w:rsidP="00E5779B">
      <w:pPr>
        <w:pStyle w:val="a8"/>
        <w:spacing w:beforeAutospacing="0" w:afterAutospacing="0" w:line="360" w:lineRule="auto"/>
        <w:ind w:firstLine="709"/>
        <w:jc w:val="both"/>
        <w:rPr>
          <w:sz w:val="28"/>
          <w:szCs w:val="28"/>
          <w:lang w:val="uk-UA"/>
        </w:rPr>
      </w:pPr>
      <w:r w:rsidRPr="00FC0CBD">
        <w:rPr>
          <w:sz w:val="28"/>
          <w:szCs w:val="28"/>
          <w:lang w:val="uk-UA"/>
        </w:rPr>
        <w:t>Не кожна господарська діяльність потребує проведення транскордонної оцінки впливу на довкілля. Як правило, така процедура застосовується щодо масштабних проєктів, які потенційно здатні викликати значний негативний вплив за межами держави походження. До них належать атомні електростанції, теплові електростанції великої потужності, нафтопереробні підприємства, магістральні трубопроводи, великі автомагістралі, аеропорти, дамби, водосховища, морські порти та інші інфраструктурні об'єкти [20].</w:t>
      </w:r>
    </w:p>
    <w:p w14:paraId="3AC63482" w14:textId="4BEDB2D3" w:rsidR="00FC0CBD" w:rsidRDefault="00000000" w:rsidP="00E5779B">
      <w:pPr>
        <w:pStyle w:val="a8"/>
        <w:spacing w:beforeAutospacing="0" w:afterAutospacing="0" w:line="360" w:lineRule="auto"/>
        <w:ind w:firstLine="709"/>
        <w:jc w:val="both"/>
        <w:rPr>
          <w:rStyle w:val="a4"/>
          <w:b w:val="0"/>
          <w:bCs w:val="0"/>
          <w:sz w:val="28"/>
          <w:szCs w:val="28"/>
          <w:lang w:val="uk-UA"/>
        </w:rPr>
      </w:pPr>
      <w:r w:rsidRPr="00FC0CBD">
        <w:rPr>
          <w:sz w:val="28"/>
          <w:szCs w:val="28"/>
          <w:lang w:val="uk-UA"/>
        </w:rPr>
        <w:t>Для кращого розуміння специфіки транскордонної оцінки впливу на довкілля доцільно порівняти її з традиційною національною процедурою ОВД</w:t>
      </w:r>
      <w:r w:rsidR="00FC0CBD">
        <w:rPr>
          <w:sz w:val="28"/>
          <w:szCs w:val="28"/>
          <w:lang w:val="uk-UA"/>
        </w:rPr>
        <w:t xml:space="preserve"> (табл</w:t>
      </w:r>
      <w:r w:rsidR="00E5779B">
        <w:rPr>
          <w:sz w:val="28"/>
          <w:szCs w:val="28"/>
          <w:lang w:val="uk-UA"/>
        </w:rPr>
        <w:t>.</w:t>
      </w:r>
      <w:r w:rsidR="00FC0CBD">
        <w:rPr>
          <w:sz w:val="28"/>
          <w:szCs w:val="28"/>
          <w:lang w:val="uk-UA"/>
        </w:rPr>
        <w:t>1.1)</w:t>
      </w:r>
      <w:r w:rsidRPr="00FC0CBD">
        <w:rPr>
          <w:sz w:val="28"/>
          <w:szCs w:val="28"/>
          <w:lang w:val="uk-UA"/>
        </w:rPr>
        <w:t>.</w:t>
      </w:r>
    </w:p>
    <w:p w14:paraId="7A23D8AF" w14:textId="78F23046" w:rsidR="00E62C75" w:rsidRPr="002763DC" w:rsidRDefault="00000000">
      <w:pPr>
        <w:pStyle w:val="a8"/>
        <w:spacing w:beforeAutospacing="0" w:afterAutospacing="0" w:line="360" w:lineRule="auto"/>
        <w:ind w:firstLineChars="214" w:firstLine="514"/>
        <w:jc w:val="right"/>
        <w:rPr>
          <w:lang w:val="uk-UA"/>
        </w:rPr>
      </w:pPr>
      <w:r w:rsidRPr="002763DC">
        <w:rPr>
          <w:rStyle w:val="a4"/>
          <w:b w:val="0"/>
          <w:bCs w:val="0"/>
          <w:lang w:val="uk-UA"/>
        </w:rPr>
        <w:t>Таблиця 1.1</w:t>
      </w:r>
      <w:r w:rsidR="00E5779B" w:rsidRPr="002763DC">
        <w:rPr>
          <w:rStyle w:val="a4"/>
          <w:b w:val="0"/>
          <w:bCs w:val="0"/>
          <w:lang w:val="uk-UA"/>
        </w:rPr>
        <w:t>.</w:t>
      </w:r>
    </w:p>
    <w:p w14:paraId="4C3C9AC6" w14:textId="724E4D70" w:rsidR="00E62C75" w:rsidRPr="00E5779B" w:rsidRDefault="00000000" w:rsidP="00E5779B">
      <w:pPr>
        <w:pStyle w:val="a8"/>
        <w:spacing w:beforeAutospacing="0" w:afterAutospacing="0"/>
        <w:ind w:firstLineChars="214" w:firstLine="516"/>
        <w:jc w:val="center"/>
        <w:rPr>
          <w:lang w:val="uk-UA"/>
        </w:rPr>
      </w:pPr>
      <w:r w:rsidRPr="00E5779B">
        <w:rPr>
          <w:rStyle w:val="a4"/>
          <w:lang w:val="uk-UA"/>
        </w:rPr>
        <w:t>Порівняльна характеристика національної та транскордонної оцінки впливу на довкілля</w:t>
      </w:r>
      <w:r w:rsidR="00E5779B" w:rsidRPr="00E5779B">
        <w:rPr>
          <w:rStyle w:val="a4"/>
          <w:lang w:val="uk-UA"/>
        </w:rPr>
        <w:t xml:space="preserve"> (</w:t>
      </w:r>
      <w:r w:rsidR="00E5779B" w:rsidRPr="002763DC">
        <w:rPr>
          <w:b/>
          <w:bCs/>
          <w:lang w:val="uk-UA"/>
        </w:rPr>
        <w:t>складено автором на основі Конвенції Еспо, Закону України «Про оцінку впливу на довкілля» та Директиви 2011/92/ЄС [3; 17; 20]</w:t>
      </w:r>
      <w:r w:rsidR="00E5779B" w:rsidRPr="002763DC">
        <w:rPr>
          <w:rStyle w:val="a4"/>
          <w:b w:val="0"/>
          <w:bCs w:val="0"/>
          <w:lang w:val="uk-UA"/>
        </w:rPr>
        <w:t>)</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1941"/>
        <w:gridCol w:w="3662"/>
        <w:gridCol w:w="4026"/>
      </w:tblGrid>
      <w:tr w:rsidR="00E62C75" w:rsidRPr="00E5779B" w14:paraId="142263D1" w14:textId="77777777">
        <w:trPr>
          <w:tblHeader/>
        </w:trPr>
        <w:tc>
          <w:tcPr>
            <w:tcW w:w="0" w:type="auto"/>
            <w:tcBorders>
              <w:tl2br w:val="nil"/>
              <w:tr2bl w:val="nil"/>
            </w:tcBorders>
            <w:shd w:val="clear" w:color="auto" w:fill="auto"/>
            <w:vAlign w:val="center"/>
          </w:tcPr>
          <w:p w14:paraId="4C0A870E" w14:textId="77777777" w:rsidR="00E62C75" w:rsidRPr="00E5779B" w:rsidRDefault="00000000">
            <w:pPr>
              <w:jc w:val="center"/>
              <w:rPr>
                <w:rFonts w:ascii="Times New Roman" w:hAnsi="Times New Roman" w:cs="Times New Roman"/>
                <w:b/>
                <w:bCs/>
                <w:sz w:val="24"/>
                <w:szCs w:val="24"/>
                <w:lang w:val="uk-UA"/>
              </w:rPr>
            </w:pPr>
            <w:r w:rsidRPr="00E5779B">
              <w:rPr>
                <w:rFonts w:ascii="Times New Roman" w:eastAsia="SimSun" w:hAnsi="Times New Roman" w:cs="Times New Roman"/>
                <w:b/>
                <w:bCs/>
                <w:sz w:val="24"/>
                <w:szCs w:val="24"/>
                <w:lang w:val="uk-UA" w:bidi="ar"/>
              </w:rPr>
              <w:t>Критерій</w:t>
            </w:r>
          </w:p>
        </w:tc>
        <w:tc>
          <w:tcPr>
            <w:tcW w:w="0" w:type="auto"/>
            <w:tcBorders>
              <w:tl2br w:val="nil"/>
              <w:tr2bl w:val="nil"/>
            </w:tcBorders>
            <w:shd w:val="clear" w:color="auto" w:fill="auto"/>
            <w:vAlign w:val="center"/>
          </w:tcPr>
          <w:p w14:paraId="4AEBF7DB" w14:textId="77777777" w:rsidR="00E62C75" w:rsidRPr="00E5779B" w:rsidRDefault="00000000">
            <w:pPr>
              <w:jc w:val="center"/>
              <w:rPr>
                <w:rFonts w:ascii="Times New Roman" w:hAnsi="Times New Roman" w:cs="Times New Roman"/>
                <w:b/>
                <w:bCs/>
                <w:sz w:val="24"/>
                <w:szCs w:val="24"/>
                <w:lang w:val="uk-UA"/>
              </w:rPr>
            </w:pPr>
            <w:r w:rsidRPr="00E5779B">
              <w:rPr>
                <w:rFonts w:ascii="Times New Roman" w:eastAsia="SimSun" w:hAnsi="Times New Roman" w:cs="Times New Roman"/>
                <w:b/>
                <w:bCs/>
                <w:sz w:val="24"/>
                <w:szCs w:val="24"/>
                <w:lang w:val="uk-UA" w:bidi="ar"/>
              </w:rPr>
              <w:t>Національна ОВД</w:t>
            </w:r>
          </w:p>
        </w:tc>
        <w:tc>
          <w:tcPr>
            <w:tcW w:w="0" w:type="auto"/>
            <w:tcBorders>
              <w:tl2br w:val="nil"/>
              <w:tr2bl w:val="nil"/>
            </w:tcBorders>
            <w:shd w:val="clear" w:color="auto" w:fill="auto"/>
            <w:vAlign w:val="center"/>
          </w:tcPr>
          <w:p w14:paraId="5990693E" w14:textId="77777777" w:rsidR="00E62C75" w:rsidRPr="00E5779B" w:rsidRDefault="00000000">
            <w:pPr>
              <w:jc w:val="center"/>
              <w:rPr>
                <w:rFonts w:ascii="Times New Roman" w:hAnsi="Times New Roman" w:cs="Times New Roman"/>
                <w:b/>
                <w:bCs/>
                <w:sz w:val="24"/>
                <w:szCs w:val="24"/>
                <w:lang w:val="uk-UA"/>
              </w:rPr>
            </w:pPr>
            <w:r w:rsidRPr="00E5779B">
              <w:rPr>
                <w:rFonts w:ascii="Times New Roman" w:eastAsia="SimSun" w:hAnsi="Times New Roman" w:cs="Times New Roman"/>
                <w:b/>
                <w:bCs/>
                <w:sz w:val="24"/>
                <w:szCs w:val="24"/>
                <w:lang w:val="uk-UA" w:bidi="ar"/>
              </w:rPr>
              <w:t>Транскордонна ОВД</w:t>
            </w:r>
          </w:p>
        </w:tc>
      </w:tr>
      <w:tr w:rsidR="00E62C75" w:rsidRPr="00E432DD" w14:paraId="11BF97E2" w14:textId="77777777">
        <w:tc>
          <w:tcPr>
            <w:tcW w:w="0" w:type="auto"/>
            <w:tcBorders>
              <w:tl2br w:val="nil"/>
              <w:tr2bl w:val="nil"/>
            </w:tcBorders>
            <w:shd w:val="clear" w:color="auto" w:fill="auto"/>
            <w:vAlign w:val="center"/>
          </w:tcPr>
          <w:p w14:paraId="065BF8CF"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Територія впливу</w:t>
            </w:r>
          </w:p>
        </w:tc>
        <w:tc>
          <w:tcPr>
            <w:tcW w:w="0" w:type="auto"/>
            <w:tcBorders>
              <w:tl2br w:val="nil"/>
              <w:tr2bl w:val="nil"/>
            </w:tcBorders>
            <w:shd w:val="clear" w:color="auto" w:fill="auto"/>
            <w:vAlign w:val="center"/>
          </w:tcPr>
          <w:p w14:paraId="1164D34D"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Територія однієї держави</w:t>
            </w:r>
          </w:p>
        </w:tc>
        <w:tc>
          <w:tcPr>
            <w:tcW w:w="0" w:type="auto"/>
            <w:tcBorders>
              <w:tl2br w:val="nil"/>
              <w:tr2bl w:val="nil"/>
            </w:tcBorders>
            <w:shd w:val="clear" w:color="auto" w:fill="auto"/>
            <w:vAlign w:val="center"/>
          </w:tcPr>
          <w:p w14:paraId="640AE9FE"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Територія двох і більше держав</w:t>
            </w:r>
          </w:p>
        </w:tc>
      </w:tr>
      <w:tr w:rsidR="00E62C75" w:rsidRPr="00E432DD" w14:paraId="61F4FE5C" w14:textId="77777777">
        <w:tc>
          <w:tcPr>
            <w:tcW w:w="0" w:type="auto"/>
            <w:tcBorders>
              <w:tl2br w:val="nil"/>
              <w:tr2bl w:val="nil"/>
            </w:tcBorders>
            <w:shd w:val="clear" w:color="auto" w:fill="auto"/>
            <w:vAlign w:val="center"/>
          </w:tcPr>
          <w:p w14:paraId="7E326E13"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Сфера застосування</w:t>
            </w:r>
          </w:p>
        </w:tc>
        <w:tc>
          <w:tcPr>
            <w:tcW w:w="0" w:type="auto"/>
            <w:tcBorders>
              <w:tl2br w:val="nil"/>
              <w:tr2bl w:val="nil"/>
            </w:tcBorders>
            <w:shd w:val="clear" w:color="auto" w:fill="auto"/>
            <w:vAlign w:val="center"/>
          </w:tcPr>
          <w:p w14:paraId="6FB5B8D9"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Проєкти з локальним або національним впливом</w:t>
            </w:r>
          </w:p>
        </w:tc>
        <w:tc>
          <w:tcPr>
            <w:tcW w:w="0" w:type="auto"/>
            <w:tcBorders>
              <w:tl2br w:val="nil"/>
              <w:tr2bl w:val="nil"/>
            </w:tcBorders>
            <w:shd w:val="clear" w:color="auto" w:fill="auto"/>
            <w:vAlign w:val="center"/>
          </w:tcPr>
          <w:p w14:paraId="2981570B"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Проєкти з можливим впливом на сусідні країни</w:t>
            </w:r>
          </w:p>
        </w:tc>
      </w:tr>
      <w:tr w:rsidR="00E62C75" w:rsidRPr="00E432DD" w14:paraId="363BA131" w14:textId="77777777">
        <w:tc>
          <w:tcPr>
            <w:tcW w:w="0" w:type="auto"/>
            <w:tcBorders>
              <w:tl2br w:val="nil"/>
              <w:tr2bl w:val="nil"/>
            </w:tcBorders>
            <w:shd w:val="clear" w:color="auto" w:fill="auto"/>
            <w:vAlign w:val="center"/>
          </w:tcPr>
          <w:p w14:paraId="0ECF0690"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Основні учасники</w:t>
            </w:r>
          </w:p>
        </w:tc>
        <w:tc>
          <w:tcPr>
            <w:tcW w:w="0" w:type="auto"/>
            <w:tcBorders>
              <w:tl2br w:val="nil"/>
              <w:tr2bl w:val="nil"/>
            </w:tcBorders>
            <w:shd w:val="clear" w:color="auto" w:fill="auto"/>
            <w:vAlign w:val="center"/>
          </w:tcPr>
          <w:p w14:paraId="373B6E72"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Замовник, органи влади, громадськість однієї держави</w:t>
            </w:r>
          </w:p>
        </w:tc>
        <w:tc>
          <w:tcPr>
            <w:tcW w:w="0" w:type="auto"/>
            <w:tcBorders>
              <w:tl2br w:val="nil"/>
              <w:tr2bl w:val="nil"/>
            </w:tcBorders>
            <w:shd w:val="clear" w:color="auto" w:fill="auto"/>
            <w:vAlign w:val="center"/>
          </w:tcPr>
          <w:p w14:paraId="7E08E4BA"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Замовник, органи влади та громадськість кількох держав</w:t>
            </w:r>
          </w:p>
        </w:tc>
      </w:tr>
      <w:tr w:rsidR="00E62C75" w:rsidRPr="00E432DD" w14:paraId="6FA26A09" w14:textId="77777777">
        <w:tc>
          <w:tcPr>
            <w:tcW w:w="0" w:type="auto"/>
            <w:tcBorders>
              <w:tl2br w:val="nil"/>
              <w:tr2bl w:val="nil"/>
            </w:tcBorders>
            <w:shd w:val="clear" w:color="auto" w:fill="auto"/>
            <w:vAlign w:val="center"/>
          </w:tcPr>
          <w:p w14:paraId="28A3A4C0"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lastRenderedPageBreak/>
              <w:t>Правова база</w:t>
            </w:r>
          </w:p>
        </w:tc>
        <w:tc>
          <w:tcPr>
            <w:tcW w:w="0" w:type="auto"/>
            <w:tcBorders>
              <w:tl2br w:val="nil"/>
              <w:tr2bl w:val="nil"/>
            </w:tcBorders>
            <w:shd w:val="clear" w:color="auto" w:fill="auto"/>
            <w:vAlign w:val="center"/>
          </w:tcPr>
          <w:p w14:paraId="28F42C53"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Національне законодавство</w:t>
            </w:r>
          </w:p>
        </w:tc>
        <w:tc>
          <w:tcPr>
            <w:tcW w:w="0" w:type="auto"/>
            <w:tcBorders>
              <w:tl2br w:val="nil"/>
              <w:tr2bl w:val="nil"/>
            </w:tcBorders>
            <w:shd w:val="clear" w:color="auto" w:fill="auto"/>
            <w:vAlign w:val="center"/>
          </w:tcPr>
          <w:p w14:paraId="3A552613" w14:textId="3152C424" w:rsidR="00E5779B" w:rsidRPr="00E5779B" w:rsidRDefault="00000000" w:rsidP="00E5779B">
            <w:pPr>
              <w:jc w:val="center"/>
              <w:rPr>
                <w:rFonts w:ascii="Times New Roman" w:eastAsia="SimSun" w:hAnsi="Times New Roman" w:cs="Times New Roman"/>
                <w:sz w:val="24"/>
                <w:szCs w:val="24"/>
                <w:lang w:val="uk-UA" w:bidi="ar"/>
              </w:rPr>
            </w:pPr>
            <w:r w:rsidRPr="00E5779B">
              <w:rPr>
                <w:rFonts w:ascii="Times New Roman" w:eastAsia="SimSun" w:hAnsi="Times New Roman" w:cs="Times New Roman"/>
                <w:sz w:val="24"/>
                <w:szCs w:val="24"/>
                <w:lang w:val="uk-UA" w:bidi="ar"/>
              </w:rPr>
              <w:t>Національне законодавство та міжнародні угоди</w:t>
            </w:r>
          </w:p>
        </w:tc>
      </w:tr>
      <w:tr w:rsidR="00E62C75" w:rsidRPr="00E432DD" w14:paraId="02735CE7" w14:textId="77777777">
        <w:tc>
          <w:tcPr>
            <w:tcW w:w="0" w:type="auto"/>
            <w:tcBorders>
              <w:tl2br w:val="nil"/>
              <w:tr2bl w:val="nil"/>
            </w:tcBorders>
            <w:shd w:val="clear" w:color="auto" w:fill="auto"/>
            <w:vAlign w:val="center"/>
          </w:tcPr>
          <w:p w14:paraId="44CAD1E2"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Процедура повідомлення</w:t>
            </w:r>
          </w:p>
        </w:tc>
        <w:tc>
          <w:tcPr>
            <w:tcW w:w="0" w:type="auto"/>
            <w:tcBorders>
              <w:tl2br w:val="nil"/>
              <w:tr2bl w:val="nil"/>
            </w:tcBorders>
            <w:shd w:val="clear" w:color="auto" w:fill="auto"/>
            <w:vAlign w:val="center"/>
          </w:tcPr>
          <w:p w14:paraId="33E29342"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Внутрішньодержавна</w:t>
            </w:r>
          </w:p>
        </w:tc>
        <w:tc>
          <w:tcPr>
            <w:tcW w:w="0" w:type="auto"/>
            <w:tcBorders>
              <w:tl2br w:val="nil"/>
              <w:tr2bl w:val="nil"/>
            </w:tcBorders>
            <w:shd w:val="clear" w:color="auto" w:fill="auto"/>
            <w:vAlign w:val="center"/>
          </w:tcPr>
          <w:p w14:paraId="163821BF"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Обов'язкове міжнародне інформування зацікавлених держав</w:t>
            </w:r>
          </w:p>
        </w:tc>
      </w:tr>
      <w:tr w:rsidR="00E62C75" w:rsidRPr="00E432DD" w14:paraId="2C7F47A1" w14:textId="77777777">
        <w:tc>
          <w:tcPr>
            <w:tcW w:w="0" w:type="auto"/>
            <w:tcBorders>
              <w:tl2br w:val="nil"/>
              <w:tr2bl w:val="nil"/>
            </w:tcBorders>
            <w:shd w:val="clear" w:color="auto" w:fill="auto"/>
            <w:vAlign w:val="center"/>
          </w:tcPr>
          <w:p w14:paraId="1EBFCC75"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Консультації</w:t>
            </w:r>
          </w:p>
        </w:tc>
        <w:tc>
          <w:tcPr>
            <w:tcW w:w="0" w:type="auto"/>
            <w:tcBorders>
              <w:tl2br w:val="nil"/>
              <w:tr2bl w:val="nil"/>
            </w:tcBorders>
            <w:shd w:val="clear" w:color="auto" w:fill="auto"/>
            <w:vAlign w:val="center"/>
          </w:tcPr>
          <w:p w14:paraId="3F13635F"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Проводяться в межах держави</w:t>
            </w:r>
          </w:p>
        </w:tc>
        <w:tc>
          <w:tcPr>
            <w:tcW w:w="0" w:type="auto"/>
            <w:tcBorders>
              <w:tl2br w:val="nil"/>
              <w:tr2bl w:val="nil"/>
            </w:tcBorders>
            <w:shd w:val="clear" w:color="auto" w:fill="auto"/>
            <w:vAlign w:val="center"/>
          </w:tcPr>
          <w:p w14:paraId="65D80D33"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Передбачають міждержавні переговори та консультації</w:t>
            </w:r>
          </w:p>
        </w:tc>
      </w:tr>
      <w:tr w:rsidR="00E62C75" w:rsidRPr="00E432DD" w14:paraId="2C8DE383" w14:textId="77777777">
        <w:tc>
          <w:tcPr>
            <w:tcW w:w="0" w:type="auto"/>
            <w:tcBorders>
              <w:tl2br w:val="nil"/>
              <w:tr2bl w:val="nil"/>
            </w:tcBorders>
            <w:shd w:val="clear" w:color="auto" w:fill="auto"/>
            <w:vAlign w:val="center"/>
          </w:tcPr>
          <w:p w14:paraId="29EBA6C2"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Громадська участь</w:t>
            </w:r>
          </w:p>
        </w:tc>
        <w:tc>
          <w:tcPr>
            <w:tcW w:w="0" w:type="auto"/>
            <w:tcBorders>
              <w:tl2br w:val="nil"/>
              <w:tr2bl w:val="nil"/>
            </w:tcBorders>
            <w:shd w:val="clear" w:color="auto" w:fill="auto"/>
            <w:vAlign w:val="center"/>
          </w:tcPr>
          <w:p w14:paraId="50692DF4"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Населення держави реалізації проєкту</w:t>
            </w:r>
          </w:p>
        </w:tc>
        <w:tc>
          <w:tcPr>
            <w:tcW w:w="0" w:type="auto"/>
            <w:tcBorders>
              <w:tl2br w:val="nil"/>
              <w:tr2bl w:val="nil"/>
            </w:tcBorders>
            <w:shd w:val="clear" w:color="auto" w:fill="auto"/>
            <w:vAlign w:val="center"/>
          </w:tcPr>
          <w:p w14:paraId="6E14BC6F"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Населення всіх держав, яких може стосуватися вплив</w:t>
            </w:r>
          </w:p>
        </w:tc>
      </w:tr>
      <w:tr w:rsidR="00E62C75" w:rsidRPr="00E432DD" w14:paraId="0930B0AD" w14:textId="77777777">
        <w:tc>
          <w:tcPr>
            <w:tcW w:w="0" w:type="auto"/>
            <w:tcBorders>
              <w:tl2br w:val="nil"/>
              <w:tr2bl w:val="nil"/>
            </w:tcBorders>
            <w:shd w:val="clear" w:color="auto" w:fill="auto"/>
            <w:vAlign w:val="center"/>
          </w:tcPr>
          <w:p w14:paraId="5A5DF5B9"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Прийняття рішень</w:t>
            </w:r>
          </w:p>
        </w:tc>
        <w:tc>
          <w:tcPr>
            <w:tcW w:w="0" w:type="auto"/>
            <w:tcBorders>
              <w:tl2br w:val="nil"/>
              <w:tr2bl w:val="nil"/>
            </w:tcBorders>
            <w:shd w:val="clear" w:color="auto" w:fill="auto"/>
            <w:vAlign w:val="center"/>
          </w:tcPr>
          <w:p w14:paraId="61A8B1F1"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Національними органами влади</w:t>
            </w:r>
          </w:p>
        </w:tc>
        <w:tc>
          <w:tcPr>
            <w:tcW w:w="0" w:type="auto"/>
            <w:tcBorders>
              <w:tl2br w:val="nil"/>
              <w:tr2bl w:val="nil"/>
            </w:tcBorders>
            <w:shd w:val="clear" w:color="auto" w:fill="auto"/>
            <w:vAlign w:val="center"/>
          </w:tcPr>
          <w:p w14:paraId="1FBF4E6F"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З урахуванням позиції зацікавлених держав</w:t>
            </w:r>
          </w:p>
        </w:tc>
      </w:tr>
      <w:tr w:rsidR="00E62C75" w:rsidRPr="00E432DD" w14:paraId="7D26BB0B" w14:textId="77777777">
        <w:tc>
          <w:tcPr>
            <w:tcW w:w="0" w:type="auto"/>
            <w:tcBorders>
              <w:tl2br w:val="nil"/>
              <w:tr2bl w:val="nil"/>
            </w:tcBorders>
            <w:shd w:val="clear" w:color="auto" w:fill="auto"/>
            <w:vAlign w:val="center"/>
          </w:tcPr>
          <w:p w14:paraId="2BF680BD"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Мета процедури</w:t>
            </w:r>
          </w:p>
        </w:tc>
        <w:tc>
          <w:tcPr>
            <w:tcW w:w="0" w:type="auto"/>
            <w:tcBorders>
              <w:tl2br w:val="nil"/>
              <w:tr2bl w:val="nil"/>
            </w:tcBorders>
            <w:shd w:val="clear" w:color="auto" w:fill="auto"/>
            <w:vAlign w:val="center"/>
          </w:tcPr>
          <w:p w14:paraId="2AB5ACBA"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Захист довкілля в межах країни</w:t>
            </w:r>
          </w:p>
        </w:tc>
        <w:tc>
          <w:tcPr>
            <w:tcW w:w="0" w:type="auto"/>
            <w:tcBorders>
              <w:tl2br w:val="nil"/>
              <w:tr2bl w:val="nil"/>
            </w:tcBorders>
            <w:shd w:val="clear" w:color="auto" w:fill="auto"/>
            <w:vAlign w:val="center"/>
          </w:tcPr>
          <w:p w14:paraId="16B01BC9" w14:textId="77777777" w:rsidR="00E62C75" w:rsidRPr="00E5779B" w:rsidRDefault="00000000">
            <w:pPr>
              <w:jc w:val="center"/>
              <w:rPr>
                <w:rFonts w:ascii="Times New Roman" w:hAnsi="Times New Roman" w:cs="Times New Roman"/>
                <w:sz w:val="24"/>
                <w:szCs w:val="24"/>
                <w:lang w:val="uk-UA"/>
              </w:rPr>
            </w:pPr>
            <w:r w:rsidRPr="00E5779B">
              <w:rPr>
                <w:rFonts w:ascii="Times New Roman" w:eastAsia="SimSun" w:hAnsi="Times New Roman" w:cs="Times New Roman"/>
                <w:sz w:val="24"/>
                <w:szCs w:val="24"/>
                <w:lang w:val="uk-UA" w:bidi="ar"/>
              </w:rPr>
              <w:t>Захист довкілля та запобігання міжнародним екологічним конфліктам</w:t>
            </w:r>
          </w:p>
        </w:tc>
      </w:tr>
    </w:tbl>
    <w:p w14:paraId="6C6B1473" w14:textId="57BBEF90" w:rsidR="00FC0CBD" w:rsidRPr="00FC0CBD" w:rsidRDefault="00000000" w:rsidP="00E5779B">
      <w:pPr>
        <w:pStyle w:val="a8"/>
        <w:spacing w:beforeAutospacing="0" w:afterAutospacing="0" w:line="360" w:lineRule="auto"/>
        <w:jc w:val="both"/>
        <w:rPr>
          <w:i/>
          <w:iCs/>
          <w:sz w:val="28"/>
          <w:szCs w:val="28"/>
          <w:lang w:val="uk-UA"/>
        </w:rPr>
      </w:pPr>
      <w:r w:rsidRPr="00FC0CBD">
        <w:rPr>
          <w:i/>
          <w:iCs/>
          <w:sz w:val="28"/>
          <w:szCs w:val="28"/>
          <w:lang w:val="uk-UA"/>
        </w:rPr>
        <w:t xml:space="preserve"> </w:t>
      </w:r>
    </w:p>
    <w:p w14:paraId="6A705018" w14:textId="2D9A95FB"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Дані таб</w:t>
      </w:r>
      <w:r w:rsidR="00E5779B">
        <w:rPr>
          <w:sz w:val="28"/>
          <w:szCs w:val="28"/>
          <w:lang w:val="uk-UA"/>
        </w:rPr>
        <w:t>л.</w:t>
      </w:r>
      <w:r w:rsidRPr="00FC0CBD">
        <w:rPr>
          <w:sz w:val="28"/>
          <w:szCs w:val="28"/>
          <w:lang w:val="uk-UA"/>
        </w:rPr>
        <w:t xml:space="preserve"> 1.1</w:t>
      </w:r>
      <w:r w:rsidR="00E5779B">
        <w:rPr>
          <w:sz w:val="28"/>
          <w:szCs w:val="28"/>
          <w:lang w:val="uk-UA"/>
        </w:rPr>
        <w:t>.</w:t>
      </w:r>
      <w:r w:rsidRPr="00FC0CBD">
        <w:rPr>
          <w:sz w:val="28"/>
          <w:szCs w:val="28"/>
          <w:lang w:val="uk-UA"/>
        </w:rPr>
        <w:t xml:space="preserve"> свідчать про те, що транскордонна оцінка впливу на довкілля є значно складнішою процедурою порівняно з національною ОВД. Її особливість полягає в необхідності забезпечення міжнародної взаємодії між державами, проведення консультацій та врахування інтересів громадськості різних країн. Якщо національна процедура орієнтована насамперед на захист довкілля в межах однієї держави, то транскордонна ОВД спрямована також на підтримання добросусідських відносин та запобігання виникненню міждержавних екологічних спорів.</w:t>
      </w:r>
    </w:p>
    <w:p w14:paraId="71BD8B3F"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Ключовим міжнародним документом у сфері транскордонної оцінки впливу на довкілля стала Конвенція про оцінку впливу на навколишнє середовище у транскордонному контексті, підписана в місті Еспо у 1991 році. Документ закріпив принцип відповідальності держав за можливі екологічні наслідки діяльності, що може впливати на інші країни. Конвенція визначила механізми повідомлення зацікавлених сторін, порядок проведення консультацій та обміну інформацією між державами [20]  (Додаток А).</w:t>
      </w:r>
    </w:p>
    <w:p w14:paraId="0F93EA9F"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Відповідно до положень Конвенції Еспо держава походження проєкту повинна повідомити потенційно зачеплену державу про діяльність, яка може спричинити значний транскордонний вплив. Після цього проводиться обмін необхідною інформацією, громадські обговорення та міждержавні консультації. Остаточне рішення щодо реалізації проєкту приймається лише після врахування отриманих зауважень і пропозицій.</w:t>
      </w:r>
    </w:p>
    <w:p w14:paraId="389C9D9E"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lastRenderedPageBreak/>
        <w:t>Важливим елементом транскордонної ОВД є участь громадськості. Сучасні міжнародні стандарти виходять із того, що населення держави, яка може зазнати негативного впливу, повинно мати такі самі права на отримання інформації та участь у прийнятті рішень, як і громадяни країни, де планується реалізація проєкту. Такий підхід сприяє підвищенню прозорості процедури та забезпечує врахування інтересів місцевих громад [6].</w:t>
      </w:r>
    </w:p>
    <w:p w14:paraId="6B5797A7"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Особливе значення транскордонна оцінка впливу на довкілля має для держав, які мають спільні природні ресурси. Насамперед це стосується міжнародних річкових басейнів, прикордонних природних територій, морських акваторій та гірських екосистем. У таких випадках будь-які зміни природного середовища в межах однієї країни можуть безпосередньо впливати на стан природних ресурсів сусідніх держав [33].</w:t>
      </w:r>
    </w:p>
    <w:p w14:paraId="1A61D908"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Для України питання транскордонної оцінки впливу на довкілля є надзвичайно важливим. Географічне положення держави зумовлює наявність численних спільних природних ресурсів із сусідніми країнами. Особливе значення мають басейни Дунаю, Дністра, Західного Бугу та Тиси, які охоплюють території кількох держав. Крім того, Україна активно розвиває міжнародні транспортні та енергетичні проєкти, що також потребує врахування можливих транскордонних наслідків.</w:t>
      </w:r>
    </w:p>
    <w:p w14:paraId="36CFC905"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У процесі європейської інтеграції роль транскордонної ОВД для України продовжує зростати. Гармонізація національного законодавства з європейськими стандартами вимагає вдосконалення механізмів міжнародного співробітництва, підвищення якості екологічних оцінок та забезпечення ефективної участі громадськості в процедурах прийняття рішень [34].</w:t>
      </w:r>
    </w:p>
    <w:p w14:paraId="5C5F98BC" w14:textId="77777777" w:rsidR="00E62C75" w:rsidRPr="00FC0CBD" w:rsidRDefault="00000000">
      <w:pPr>
        <w:pStyle w:val="a8"/>
        <w:spacing w:beforeAutospacing="0" w:afterAutospacing="0" w:line="360" w:lineRule="auto"/>
        <w:ind w:firstLineChars="214" w:firstLine="599"/>
        <w:jc w:val="both"/>
        <w:rPr>
          <w:sz w:val="28"/>
          <w:szCs w:val="28"/>
          <w:lang w:val="uk-UA"/>
        </w:rPr>
      </w:pPr>
      <w:r w:rsidRPr="00FC0CBD">
        <w:rPr>
          <w:sz w:val="28"/>
          <w:szCs w:val="28"/>
          <w:lang w:val="uk-UA"/>
        </w:rPr>
        <w:t>Отже, транскордонний вимір оцінки впливу на довкілля є важливою складовою сучасної системи міжнародного екологічного управління. Його значення визначається необхідністю врахування екологічних наслідків діяльності, які виходять за межі окремих держав, а також потребою забезпечення ефективного міжнародного співробітництва у сфері охорони навколишнього природного середовища.</w:t>
      </w:r>
    </w:p>
    <w:p w14:paraId="14A7796C" w14:textId="77777777" w:rsidR="00E62C75" w:rsidRPr="00FC0CBD" w:rsidRDefault="00000000" w:rsidP="003019B4">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1.4. Міжнародні інституції та механізми регулювання транскордонної ОВД</w:t>
      </w:r>
    </w:p>
    <w:p w14:paraId="77E9D4DC"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Зростання кількості транскордонних екологічних проблем стало одним із чинників формування міжнародної системи співробітництва у сфері охорони довкілля. На сучасному етапі жодна держава не може самостійно вирішувати питання екологічної безпеки, оскільки багато екологічних загроз мають міжнародний характер і впливають на кілька країн одночасно. Саме тому поступово сформувалася система міжнародних інституцій, правових механізмів та процедур, спрямованих на регулювання оцінки впливу на довкілля у транскордонному контексті.</w:t>
      </w:r>
    </w:p>
    <w:p w14:paraId="6097F7B4"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Необхідність міжнародного регулювання транскордонної ОВД пояснюється тим, що господарська діяльність однієї держави може створювати ризики для довкілля та населення інших держав. У таких випадках виникає потреба у встановленні єдиних правил взаємодії між країнами, визначенні порядку обміну інформацією, проведення консультацій та врахування інтересів усіх зацікавлених сторін [16].</w:t>
      </w:r>
    </w:p>
    <w:p w14:paraId="410690ED"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Перші міжнародні механізми співробітництва у сфері охорони довкілля почали активно розвиватися в другій половині ХХ століття. Водночас саме на початку 1990-х років було закладено сучасну основу міжнародної системи регулювання транскордонної оцінки впливу на довкілля. Сьогодні ця система включає міжнародні організації, конвенції, міждержавні угоди, інституційні механізми та нормативно-правові акти регіонального рівня.</w:t>
      </w:r>
    </w:p>
    <w:p w14:paraId="33F2BA73"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Особливу роль у формуванні міжнародної екологічної політики відіграє Організація Об’єднаних Націй. Саме в межах ООН було розроблено значну кількість міжнародних документів, які стали основою сучасного екологічного права. Організація сприяє розвитку міжнародного співробітництва, координації діяльності держав та формуванню глобальної екологічної політики [20].</w:t>
      </w:r>
    </w:p>
    <w:p w14:paraId="01E7AC44"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 xml:space="preserve">Однією з найважливіших структур ООН у сфері охорони довкілля є Програма ООН з навколишнього середовища. Основною метою діяльності UNEP є координація міжнародних природоохоронних заходів, підтримка екологічних </w:t>
      </w:r>
      <w:r w:rsidRPr="00FC0CBD">
        <w:rPr>
          <w:sz w:val="28"/>
          <w:szCs w:val="28"/>
          <w:lang w:val="uk-UA"/>
        </w:rPr>
        <w:lastRenderedPageBreak/>
        <w:t>програм та сприяння сталому розвитку. Організація бере участь у підготовці міжнародних екологічних угод, проведенні досліджень та поширенні екологічної інформації серед держав-членів [21].</w:t>
      </w:r>
    </w:p>
    <w:p w14:paraId="2FC8620E"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Значний внесок у розвиток транскордонної оцінки впливу на довкілля зробила Європейська економічна комісія ООН. Саме в межах цієї організації було підготовлено та прийнято Конвенцію про оцінку впливу на навколишнє середовище у транскордонному контексті, яка стала основним міжнародним документом у сфері транскордонної ОВД.</w:t>
      </w:r>
    </w:p>
    <w:p w14:paraId="35667327"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Конвенція про оцінку впливу на навколишнє середовище у транскордонному контексті, більш відома як Конвенція Еспо, була підписана у 1991 році. Її прийняття стало важливим кроком у розвитку міжнародного екологічного права. Документ встановив обов'язкові правила поведінки держав у випадках, коли планована діяльність може спричинити значний негативний вплив на довкілля інших країн [22].</w:t>
      </w:r>
    </w:p>
    <w:p w14:paraId="365C7543"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Основна мета Конвенції Еспо полягає у запобіганні, зменшенні та контролі транскордонного впливу на довкілля. Для досягнення цієї мети документ передбачає низку механізмів міжнародного співробітництва. Серед них особливе місце займають процедури повідомлення зацікавлених держав, обмін екологічною інформацією, проведення консультацій та участь громадськості в процесі прийняття рішень.</w:t>
      </w:r>
    </w:p>
    <w:p w14:paraId="140B59DE"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Важливою особливістю Конвенції Еспо є те, що вона закріплює принцип рівності прав держав, які беруть участь у процедурі. Країна, на території якої планується реалізація проєкту, зобов'язана надати потенційно зачепленій державі всю необхідну інформацію для оцінки можливих екологічних наслідків.</w:t>
      </w:r>
    </w:p>
    <w:p w14:paraId="12835AEA"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Окреме місце у системі міжнародного регулювання займає Конвенція про доступ до інформації, участь громадськості у процесі прийняття рішень та доступ до правосуддя з питань, що стосуються довкілля, відома як Орхуська конвенція. Вона була прийнята у 1998 році та суттєво розширила права громадян у сфері екологічного управління [24].</w:t>
      </w:r>
    </w:p>
    <w:p w14:paraId="54437E80"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lastRenderedPageBreak/>
        <w:t>Орхуська конвенція встановила три основні принципи: право на доступ до екологічної інформації, право на участь у прийнятті екологічно значущих рішень та право на доступ до правосуддя у випадках порушення екологічних прав. Реалізація цих принципів має велике значення для процедур транскордонної ОВД, оскільки забезпечує залучення громадськості не лише держави походження проєкту, а й потенційно зачеплених країн.</w:t>
      </w:r>
    </w:p>
    <w:p w14:paraId="3C58D6E2"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Важливим регіональним механізмом регулювання транскордонної оцінки впливу на довкілля виступає Європейський Союз. Протягом останніх десятиліть у ЄС сформовано одну з найбільш розвинених систем екологічного законодавства у світі. Значну роль у цьому процесі відіграли директиви Європейського Союзу щодо оцінки впливу на довкілля.</w:t>
      </w:r>
    </w:p>
    <w:p w14:paraId="37386289"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Одним із ключових нормативних актів є Директива 2011/92/ЄС про оцінку впливу окремих державних і приватних проєктів на навколишнє середовище. Документ визначає загальні вимоги до проведення процедур ОВД, порядок інформування громадськості, підготовки звітів та врахування екологічних факторів під час ухвалення рішень [17].</w:t>
      </w:r>
    </w:p>
    <w:p w14:paraId="0928F1B9"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Особливістю європейського підходу є інтеграція екологічних вимог у всі сфери державної політики. Це означає, що питання охорони довкілля повинні враховуватися не лише під час реалізації окремих проєктів, а й у процесі стратегічного планування розвитку територій, енергетики, транспорту та інших секторів економіки.</w:t>
      </w:r>
    </w:p>
    <w:p w14:paraId="02CDF26B"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Суттєве значення для розвитку транскордонної ОВД мають також міжнародні фінансові інституції. Насамперед це стосується Світовий банк, Європейський банк реконструкції та розвитку та Європейський інвестиційний банк. Під час фінансування великих інфраструктурних проєктів ці установи висувають обов'язкові екологічні вимоги, які часто перевищують мінімальні вимоги національного законодавства.</w:t>
      </w:r>
    </w:p>
    <w:p w14:paraId="31D9ACCB" w14:textId="7749A0CA"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 xml:space="preserve">Міжнародні фінансові організації приділяють особливу увагу оцінці екологічних ризиків, захисту природних ресурсів, дотриманню прав місцевого населення та забезпеченню прозорості процедур. У багатьох випадках саме </w:t>
      </w:r>
      <w:r w:rsidRPr="00FC0CBD">
        <w:rPr>
          <w:sz w:val="28"/>
          <w:szCs w:val="28"/>
          <w:lang w:val="uk-UA"/>
        </w:rPr>
        <w:lastRenderedPageBreak/>
        <w:t>виконання міжнародних екологічних стандартів є обов'язковою умовою отримання фінансування. Для наочності основні міжнародні інституції та їх функції у сфері транскордонної ОВД наведено в табл</w:t>
      </w:r>
      <w:r w:rsidR="003019B4">
        <w:rPr>
          <w:sz w:val="28"/>
          <w:szCs w:val="28"/>
          <w:lang w:val="uk-UA"/>
        </w:rPr>
        <w:t>.</w:t>
      </w:r>
      <w:r w:rsidRPr="00FC0CBD">
        <w:rPr>
          <w:sz w:val="28"/>
          <w:szCs w:val="28"/>
          <w:lang w:val="uk-UA"/>
        </w:rPr>
        <w:t>1.2.</w:t>
      </w:r>
    </w:p>
    <w:p w14:paraId="06C6AAE3" w14:textId="6424E6C6" w:rsidR="00E62C75" w:rsidRPr="003019B4" w:rsidRDefault="00000000">
      <w:pPr>
        <w:pStyle w:val="a8"/>
        <w:spacing w:beforeAutospacing="0" w:afterAutospacing="0" w:line="360" w:lineRule="auto"/>
        <w:ind w:firstLineChars="214" w:firstLine="514"/>
        <w:jc w:val="right"/>
        <w:rPr>
          <w:lang w:val="uk-UA"/>
        </w:rPr>
      </w:pPr>
      <w:r w:rsidRPr="003019B4">
        <w:rPr>
          <w:rStyle w:val="a4"/>
          <w:b w:val="0"/>
          <w:bCs w:val="0"/>
          <w:lang w:val="uk-UA"/>
        </w:rPr>
        <w:t>Таблиця 1.2</w:t>
      </w:r>
      <w:r w:rsidR="003019B4">
        <w:rPr>
          <w:rStyle w:val="a4"/>
          <w:b w:val="0"/>
          <w:bCs w:val="0"/>
          <w:lang w:val="uk-UA"/>
        </w:rPr>
        <w:t>.</w:t>
      </w:r>
    </w:p>
    <w:p w14:paraId="7640DD9A" w14:textId="142E0F8B" w:rsidR="003019B4" w:rsidRDefault="00000000" w:rsidP="003019B4">
      <w:pPr>
        <w:pStyle w:val="a8"/>
        <w:spacing w:beforeAutospacing="0" w:afterAutospacing="0"/>
        <w:ind w:firstLineChars="214" w:firstLine="516"/>
        <w:jc w:val="center"/>
        <w:rPr>
          <w:b/>
          <w:bCs/>
          <w:lang w:val="uk-UA"/>
        </w:rPr>
      </w:pPr>
      <w:r w:rsidRPr="003019B4">
        <w:rPr>
          <w:rStyle w:val="a4"/>
          <w:lang w:val="uk-UA"/>
        </w:rPr>
        <w:t>Основні міжнародні інституції та механізми регулювання транскордонної оцінки впливу на довкілля</w:t>
      </w:r>
      <w:r w:rsidR="003019B4">
        <w:rPr>
          <w:rStyle w:val="a4"/>
          <w:lang w:val="uk-UA"/>
        </w:rPr>
        <w:t xml:space="preserve"> </w:t>
      </w:r>
      <w:r w:rsidR="003019B4" w:rsidRPr="003019B4">
        <w:rPr>
          <w:b/>
          <w:bCs/>
          <w:lang w:val="uk-UA"/>
        </w:rPr>
        <w:t>(складено автором на основі матеріалів UNECE, Конвенції Еспо, Орхуської конвенції, директив Європейського Союзу [16; 17; 20; 21])</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3914"/>
        <w:gridCol w:w="5715"/>
      </w:tblGrid>
      <w:tr w:rsidR="00E62C75" w:rsidRPr="003019B4" w14:paraId="4A60F99A" w14:textId="77777777">
        <w:trPr>
          <w:tblHeader/>
        </w:trPr>
        <w:tc>
          <w:tcPr>
            <w:tcW w:w="0" w:type="auto"/>
            <w:tcBorders>
              <w:tl2br w:val="nil"/>
              <w:tr2bl w:val="nil"/>
            </w:tcBorders>
            <w:shd w:val="clear" w:color="auto" w:fill="auto"/>
            <w:vAlign w:val="center"/>
          </w:tcPr>
          <w:p w14:paraId="3FD36D13" w14:textId="77777777" w:rsidR="00E62C75" w:rsidRPr="003019B4" w:rsidRDefault="00000000">
            <w:pPr>
              <w:jc w:val="center"/>
              <w:rPr>
                <w:rFonts w:ascii="Times New Roman" w:hAnsi="Times New Roman" w:cs="Times New Roman"/>
                <w:b/>
                <w:bCs/>
                <w:sz w:val="24"/>
                <w:szCs w:val="24"/>
                <w:lang w:val="uk-UA"/>
              </w:rPr>
            </w:pPr>
            <w:r w:rsidRPr="003019B4">
              <w:rPr>
                <w:rFonts w:ascii="Times New Roman" w:eastAsia="SimSun" w:hAnsi="Times New Roman" w:cs="Times New Roman"/>
                <w:b/>
                <w:bCs/>
                <w:sz w:val="24"/>
                <w:szCs w:val="24"/>
                <w:lang w:val="uk-UA" w:bidi="ar"/>
              </w:rPr>
              <w:t>Інституція / механізм</w:t>
            </w:r>
          </w:p>
        </w:tc>
        <w:tc>
          <w:tcPr>
            <w:tcW w:w="0" w:type="auto"/>
            <w:tcBorders>
              <w:tl2br w:val="nil"/>
              <w:tr2bl w:val="nil"/>
            </w:tcBorders>
            <w:shd w:val="clear" w:color="auto" w:fill="auto"/>
            <w:vAlign w:val="center"/>
          </w:tcPr>
          <w:p w14:paraId="2D0C4287" w14:textId="77777777" w:rsidR="00E62C75" w:rsidRPr="003019B4" w:rsidRDefault="00000000">
            <w:pPr>
              <w:jc w:val="center"/>
              <w:rPr>
                <w:rFonts w:ascii="Times New Roman" w:hAnsi="Times New Roman" w:cs="Times New Roman"/>
                <w:b/>
                <w:bCs/>
                <w:sz w:val="24"/>
                <w:szCs w:val="24"/>
                <w:lang w:val="uk-UA"/>
              </w:rPr>
            </w:pPr>
            <w:r w:rsidRPr="003019B4">
              <w:rPr>
                <w:rFonts w:ascii="Times New Roman" w:eastAsia="SimSun" w:hAnsi="Times New Roman" w:cs="Times New Roman"/>
                <w:b/>
                <w:bCs/>
                <w:sz w:val="24"/>
                <w:szCs w:val="24"/>
                <w:lang w:val="uk-UA" w:bidi="ar"/>
              </w:rPr>
              <w:t>Основні функції</w:t>
            </w:r>
          </w:p>
        </w:tc>
      </w:tr>
      <w:tr w:rsidR="00E62C75" w:rsidRPr="00E432DD" w14:paraId="51501C6E" w14:textId="77777777">
        <w:tc>
          <w:tcPr>
            <w:tcW w:w="0" w:type="auto"/>
            <w:tcBorders>
              <w:tl2br w:val="nil"/>
              <w:tr2bl w:val="nil"/>
            </w:tcBorders>
            <w:shd w:val="clear" w:color="auto" w:fill="auto"/>
            <w:vAlign w:val="center"/>
          </w:tcPr>
          <w:p w14:paraId="05546A81"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Організація Об'єднаних Націй (ООН)</w:t>
            </w:r>
          </w:p>
        </w:tc>
        <w:tc>
          <w:tcPr>
            <w:tcW w:w="0" w:type="auto"/>
            <w:tcBorders>
              <w:tl2br w:val="nil"/>
              <w:tr2bl w:val="nil"/>
            </w:tcBorders>
            <w:shd w:val="clear" w:color="auto" w:fill="auto"/>
            <w:vAlign w:val="center"/>
          </w:tcPr>
          <w:p w14:paraId="12869D60"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Формування глобальної екологічної політики та міжнародного співробітництва</w:t>
            </w:r>
          </w:p>
        </w:tc>
      </w:tr>
      <w:tr w:rsidR="00E62C75" w:rsidRPr="00E432DD" w14:paraId="13C9F074" w14:textId="77777777">
        <w:tc>
          <w:tcPr>
            <w:tcW w:w="0" w:type="auto"/>
            <w:tcBorders>
              <w:tl2br w:val="nil"/>
              <w:tr2bl w:val="nil"/>
            </w:tcBorders>
            <w:shd w:val="clear" w:color="auto" w:fill="auto"/>
            <w:vAlign w:val="center"/>
          </w:tcPr>
          <w:p w14:paraId="095F766A"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Програма ООН з навколишнього середовища (UNEP)</w:t>
            </w:r>
          </w:p>
        </w:tc>
        <w:tc>
          <w:tcPr>
            <w:tcW w:w="0" w:type="auto"/>
            <w:tcBorders>
              <w:tl2br w:val="nil"/>
              <w:tr2bl w:val="nil"/>
            </w:tcBorders>
            <w:shd w:val="clear" w:color="auto" w:fill="auto"/>
            <w:vAlign w:val="center"/>
          </w:tcPr>
          <w:p w14:paraId="2E4E7ACE"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Координація природоохоронних програм та підтримка сталого розвитку</w:t>
            </w:r>
          </w:p>
        </w:tc>
      </w:tr>
      <w:tr w:rsidR="00E62C75" w:rsidRPr="00E432DD" w14:paraId="77B7F202" w14:textId="77777777">
        <w:tc>
          <w:tcPr>
            <w:tcW w:w="0" w:type="auto"/>
            <w:tcBorders>
              <w:tl2br w:val="nil"/>
              <w:tr2bl w:val="nil"/>
            </w:tcBorders>
            <w:shd w:val="clear" w:color="auto" w:fill="auto"/>
            <w:vAlign w:val="center"/>
          </w:tcPr>
          <w:p w14:paraId="451A4DC9"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Європейська економічна комісія ООН (UNECE)</w:t>
            </w:r>
          </w:p>
        </w:tc>
        <w:tc>
          <w:tcPr>
            <w:tcW w:w="0" w:type="auto"/>
            <w:tcBorders>
              <w:tl2br w:val="nil"/>
              <w:tr2bl w:val="nil"/>
            </w:tcBorders>
            <w:shd w:val="clear" w:color="auto" w:fill="auto"/>
            <w:vAlign w:val="center"/>
          </w:tcPr>
          <w:p w14:paraId="1D26E1FA"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Розробка міжнародних конвенцій та механізмів екологічного співробітництва</w:t>
            </w:r>
          </w:p>
        </w:tc>
      </w:tr>
      <w:tr w:rsidR="00E62C75" w:rsidRPr="00E432DD" w14:paraId="64BFCCF3" w14:textId="77777777">
        <w:tc>
          <w:tcPr>
            <w:tcW w:w="0" w:type="auto"/>
            <w:tcBorders>
              <w:tl2br w:val="nil"/>
              <w:tr2bl w:val="nil"/>
            </w:tcBorders>
            <w:shd w:val="clear" w:color="auto" w:fill="auto"/>
            <w:vAlign w:val="center"/>
          </w:tcPr>
          <w:p w14:paraId="66CC2DC9"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Конвенція Еспо (1991 р.)</w:t>
            </w:r>
          </w:p>
        </w:tc>
        <w:tc>
          <w:tcPr>
            <w:tcW w:w="0" w:type="auto"/>
            <w:tcBorders>
              <w:tl2br w:val="nil"/>
              <w:tr2bl w:val="nil"/>
            </w:tcBorders>
            <w:shd w:val="clear" w:color="auto" w:fill="auto"/>
            <w:vAlign w:val="center"/>
          </w:tcPr>
          <w:p w14:paraId="420569FC"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Регулювання процедур транскордонної ОВД та консультацій між державами</w:t>
            </w:r>
          </w:p>
        </w:tc>
      </w:tr>
      <w:tr w:rsidR="00E62C75" w:rsidRPr="00E432DD" w14:paraId="4A6A8C20" w14:textId="77777777" w:rsidTr="003019B4">
        <w:tc>
          <w:tcPr>
            <w:tcW w:w="3914" w:type="dxa"/>
            <w:tcBorders>
              <w:tl2br w:val="nil"/>
              <w:tr2bl w:val="nil"/>
            </w:tcBorders>
            <w:shd w:val="clear" w:color="auto" w:fill="auto"/>
            <w:vAlign w:val="center"/>
          </w:tcPr>
          <w:p w14:paraId="2D266F67"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Орхуська конвенція (1998 р.)</w:t>
            </w:r>
          </w:p>
        </w:tc>
        <w:tc>
          <w:tcPr>
            <w:tcW w:w="5715" w:type="dxa"/>
            <w:tcBorders>
              <w:tl2br w:val="nil"/>
              <w:tr2bl w:val="nil"/>
            </w:tcBorders>
            <w:shd w:val="clear" w:color="auto" w:fill="auto"/>
            <w:vAlign w:val="center"/>
          </w:tcPr>
          <w:p w14:paraId="368C9630"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Забезпечення доступу до інформації та участі громадськості</w:t>
            </w:r>
          </w:p>
        </w:tc>
      </w:tr>
      <w:tr w:rsidR="00E62C75" w:rsidRPr="00E432DD" w14:paraId="7C5A49C3" w14:textId="77777777" w:rsidTr="003019B4">
        <w:tc>
          <w:tcPr>
            <w:tcW w:w="3914" w:type="dxa"/>
            <w:tcBorders>
              <w:tl2br w:val="nil"/>
              <w:tr2bl w:val="nil"/>
            </w:tcBorders>
            <w:shd w:val="clear" w:color="auto" w:fill="auto"/>
            <w:vAlign w:val="center"/>
          </w:tcPr>
          <w:p w14:paraId="748E758C"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Європейський Союз</w:t>
            </w:r>
          </w:p>
        </w:tc>
        <w:tc>
          <w:tcPr>
            <w:tcW w:w="5715" w:type="dxa"/>
            <w:tcBorders>
              <w:tl2br w:val="nil"/>
              <w:tr2bl w:val="nil"/>
            </w:tcBorders>
            <w:shd w:val="clear" w:color="auto" w:fill="auto"/>
            <w:vAlign w:val="center"/>
          </w:tcPr>
          <w:p w14:paraId="18407878"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Формування нормативно-правової бази ОВД через систему директив</w:t>
            </w:r>
          </w:p>
        </w:tc>
      </w:tr>
      <w:tr w:rsidR="00E62C75" w:rsidRPr="00E432DD" w14:paraId="5F0BAF75" w14:textId="77777777" w:rsidTr="003019B4">
        <w:tc>
          <w:tcPr>
            <w:tcW w:w="3914" w:type="dxa"/>
            <w:tcBorders>
              <w:tl2br w:val="nil"/>
              <w:tr2bl w:val="nil"/>
            </w:tcBorders>
            <w:shd w:val="clear" w:color="auto" w:fill="auto"/>
            <w:vAlign w:val="center"/>
          </w:tcPr>
          <w:p w14:paraId="01838839"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Світовий банк</w:t>
            </w:r>
          </w:p>
        </w:tc>
        <w:tc>
          <w:tcPr>
            <w:tcW w:w="5715" w:type="dxa"/>
            <w:tcBorders>
              <w:tl2br w:val="nil"/>
              <w:tr2bl w:val="nil"/>
            </w:tcBorders>
            <w:shd w:val="clear" w:color="auto" w:fill="auto"/>
            <w:vAlign w:val="center"/>
          </w:tcPr>
          <w:p w14:paraId="2E0DB5FE"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Контроль дотримання екологічних стандартів під час фінансування проєктів</w:t>
            </w:r>
          </w:p>
        </w:tc>
      </w:tr>
      <w:tr w:rsidR="00E62C75" w:rsidRPr="00E432DD" w14:paraId="127E7536" w14:textId="77777777" w:rsidTr="003019B4">
        <w:tc>
          <w:tcPr>
            <w:tcW w:w="3914" w:type="dxa"/>
            <w:tcBorders>
              <w:tl2br w:val="nil"/>
              <w:tr2bl w:val="nil"/>
            </w:tcBorders>
            <w:shd w:val="clear" w:color="auto" w:fill="auto"/>
            <w:vAlign w:val="center"/>
          </w:tcPr>
          <w:p w14:paraId="5E570D35"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ЄБРР</w:t>
            </w:r>
          </w:p>
        </w:tc>
        <w:tc>
          <w:tcPr>
            <w:tcW w:w="5715" w:type="dxa"/>
            <w:tcBorders>
              <w:tl2br w:val="nil"/>
              <w:tr2bl w:val="nil"/>
            </w:tcBorders>
            <w:shd w:val="clear" w:color="auto" w:fill="auto"/>
            <w:vAlign w:val="center"/>
          </w:tcPr>
          <w:p w14:paraId="4CA2896A"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Встановлення екологічних вимог до інвестиційних проєктів</w:t>
            </w:r>
          </w:p>
        </w:tc>
      </w:tr>
      <w:tr w:rsidR="00E62C75" w:rsidRPr="00E432DD" w14:paraId="39C3897E" w14:textId="77777777" w:rsidTr="003019B4">
        <w:tc>
          <w:tcPr>
            <w:tcW w:w="3914" w:type="dxa"/>
            <w:tcBorders>
              <w:tl2br w:val="nil"/>
              <w:tr2bl w:val="nil"/>
            </w:tcBorders>
            <w:shd w:val="clear" w:color="auto" w:fill="auto"/>
            <w:vAlign w:val="center"/>
          </w:tcPr>
          <w:p w14:paraId="186359F5"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ЄІБ</w:t>
            </w:r>
          </w:p>
        </w:tc>
        <w:tc>
          <w:tcPr>
            <w:tcW w:w="5715" w:type="dxa"/>
            <w:tcBorders>
              <w:tl2br w:val="nil"/>
              <w:tr2bl w:val="nil"/>
            </w:tcBorders>
            <w:shd w:val="clear" w:color="auto" w:fill="auto"/>
            <w:vAlign w:val="center"/>
          </w:tcPr>
          <w:p w14:paraId="367ECE77" w14:textId="77777777" w:rsidR="00E62C75" w:rsidRPr="003019B4" w:rsidRDefault="00000000">
            <w:pPr>
              <w:jc w:val="center"/>
              <w:rPr>
                <w:rFonts w:ascii="Times New Roman" w:hAnsi="Times New Roman" w:cs="Times New Roman"/>
                <w:sz w:val="24"/>
                <w:szCs w:val="24"/>
                <w:lang w:val="uk-UA"/>
              </w:rPr>
            </w:pPr>
            <w:r w:rsidRPr="003019B4">
              <w:rPr>
                <w:rFonts w:ascii="Times New Roman" w:eastAsia="SimSun" w:hAnsi="Times New Roman" w:cs="Times New Roman"/>
                <w:sz w:val="24"/>
                <w:szCs w:val="24"/>
                <w:lang w:val="uk-UA" w:bidi="ar"/>
              </w:rPr>
              <w:t>Фінансування проєктів із дотриманням міжнародних екологічних стандартів</w:t>
            </w:r>
          </w:p>
        </w:tc>
      </w:tr>
    </w:tbl>
    <w:p w14:paraId="07D59F41" w14:textId="77777777" w:rsidR="00FC0CBD" w:rsidRPr="00FC0CBD" w:rsidRDefault="00FC0CBD">
      <w:pPr>
        <w:pStyle w:val="a8"/>
        <w:spacing w:beforeAutospacing="0" w:afterAutospacing="0" w:line="360" w:lineRule="auto"/>
        <w:ind w:firstLineChars="214" w:firstLine="599"/>
        <w:jc w:val="both"/>
        <w:rPr>
          <w:i/>
          <w:iCs/>
          <w:sz w:val="28"/>
          <w:szCs w:val="28"/>
          <w:lang w:val="uk-UA"/>
        </w:rPr>
      </w:pPr>
    </w:p>
    <w:p w14:paraId="7F6160E9" w14:textId="2259D2A0"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Дані табл</w:t>
      </w:r>
      <w:r w:rsidR="003019B4">
        <w:rPr>
          <w:sz w:val="28"/>
          <w:szCs w:val="28"/>
          <w:lang w:val="uk-UA"/>
        </w:rPr>
        <w:t>.</w:t>
      </w:r>
      <w:r w:rsidRPr="00FC0CBD">
        <w:rPr>
          <w:sz w:val="28"/>
          <w:szCs w:val="28"/>
          <w:lang w:val="uk-UA"/>
        </w:rPr>
        <w:t xml:space="preserve"> 1.2</w:t>
      </w:r>
      <w:r w:rsidR="003019B4">
        <w:rPr>
          <w:sz w:val="28"/>
          <w:szCs w:val="28"/>
          <w:lang w:val="uk-UA"/>
        </w:rPr>
        <w:t>.</w:t>
      </w:r>
      <w:r w:rsidRPr="00FC0CBD">
        <w:rPr>
          <w:sz w:val="28"/>
          <w:szCs w:val="28"/>
          <w:lang w:val="uk-UA"/>
        </w:rPr>
        <w:t xml:space="preserve"> демонструють, що система міжнародного регулювання транскордонної оцінки впливу на довкілля є багаторівневою та охоплює як міжнародні організації, так і спеціалізовані правові механізми. Взаємодія цих інституцій забезпечує формування єдиних підходів до екологічної безпеки, сприяє підвищенню прозорості процедур та створює умови для ефективного співробітництва між державами.</w:t>
      </w:r>
    </w:p>
    <w:p w14:paraId="55CFD32A"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 xml:space="preserve">Для України участь у діяльності зазначених міжнародних механізмів має важливе значення. Як держава, що прагне інтеграції до європейського простору, Україна поступово адаптує своє законодавство до міжнародних стандартів та бере участь у виконанні зобов'язань, передбачених міжнародними екологічними угодами. Це створює передумови для підвищення ефективності національної </w:t>
      </w:r>
      <w:r w:rsidRPr="00FC0CBD">
        <w:rPr>
          <w:sz w:val="28"/>
          <w:szCs w:val="28"/>
          <w:lang w:val="uk-UA"/>
        </w:rPr>
        <w:lastRenderedPageBreak/>
        <w:t>системи оцінки впливу на довкілля та розвитку транскордонного екологічного співробітництва.</w:t>
      </w:r>
    </w:p>
    <w:p w14:paraId="20E4CA4D"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Підсумовуючи викладене, можна зазначити, що міжнародні інституції та механізми регулювання транскордонної ОВД формують основу сучасної системи екологічної безпеки. Їх діяльність забезпечує координацію дій держав, сприяє попередженню транскордонних екологічних ризиків та створює умови для збалансованого використання природних ресурсів у міжнародному масштабі. Саме на цих засадах сьогодні розвивається світова практика оцінки впливу на довкілля та вдосконалюються механізми міжнародного екологічного співробітництва.</w:t>
      </w:r>
    </w:p>
    <w:p w14:paraId="0431AFDD" w14:textId="77777777" w:rsidR="00E62C75" w:rsidRPr="00FC0CBD" w:rsidRDefault="00E62C75" w:rsidP="003019B4">
      <w:pPr>
        <w:pStyle w:val="a8"/>
        <w:spacing w:beforeAutospacing="0" w:afterAutospacing="0" w:line="360" w:lineRule="auto"/>
        <w:ind w:firstLine="709"/>
        <w:jc w:val="both"/>
        <w:rPr>
          <w:sz w:val="28"/>
          <w:szCs w:val="28"/>
          <w:lang w:val="uk-UA"/>
        </w:rPr>
      </w:pPr>
    </w:p>
    <w:p w14:paraId="01345422" w14:textId="77777777" w:rsidR="00E62C75" w:rsidRPr="00FC0CBD" w:rsidRDefault="00000000" w:rsidP="003019B4">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Висновки до розділу 1</w:t>
      </w:r>
    </w:p>
    <w:p w14:paraId="4F8C3B39"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У першому розділі було розглянуто теоретико-методологічні основи транскордонної оцінки впливу на довкілля, що дозволило сформувати цілісне уявлення про сутність, розвиток та особливості цієї процедури в сучасних умовах.</w:t>
      </w:r>
    </w:p>
    <w:p w14:paraId="51C8CD41"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Встановлено, що оцінка впливу на довкілля є важливим інструментом екологічного управління, який використовується для попереднього аналізу можливих наслідків господарської діяльності. Її ключова роль полягає у запобіганні екологічним ризикам ще на етапі планування проєктів, що відповідає принципам сталого розвитку та превентивного підходу до охорони довкілля.</w:t>
      </w:r>
    </w:p>
    <w:p w14:paraId="1F7709DC"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Дослідження показало, що формування сучасної системи ОВД відбувалося поступово під впливом глобальних екологічних викликів, зростання промислового навантаження та усвідомлення необхідності міжнародного регулювання екологічних процесів. Важливими етапами цього розвитку стали прийняття національних екологічних законів у різних країнах, проведення міжнародних конференцій з питань довкілля та формування концепції сталого розвитку.</w:t>
      </w:r>
    </w:p>
    <w:p w14:paraId="34C20F32"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 xml:space="preserve">Окрему увагу приділено транскордонному виміру оцінки впливу на довкілля. Встановлено, що він виник у відповідь на проблему поширення екологічних наслідків за межі державних кордонів. У цьому контексті особливе </w:t>
      </w:r>
      <w:r w:rsidRPr="00FC0CBD">
        <w:rPr>
          <w:sz w:val="28"/>
          <w:szCs w:val="28"/>
          <w:lang w:val="uk-UA"/>
        </w:rPr>
        <w:lastRenderedPageBreak/>
        <w:t>значення має Конвенція Еспо 1991 року, яка закріпила обов’язкові механізми міжнародного інформування, консультацій та співпраці між державами у випадках потенційного транскордонного впливу.</w:t>
      </w:r>
    </w:p>
    <w:p w14:paraId="13CDB594"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Проаналізовано також роль міжнародних інституцій та механізмів регулювання ОВД. Виявлено, що система міжнародного екологічного управління є багаторівневою та включає діяльність ООН, UNEP, UNECE, Європейського Союзу, міжнародних фінансових організацій та інших структур. Їх взаємодія забезпечує формування єдиних підходів до оцінки екологічних ризиків і сприяє розвитку міжнародного співробітництва.</w:t>
      </w:r>
    </w:p>
    <w:p w14:paraId="55BB9C05"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У ході дослідження встановлено, що нормативно-правове регулювання транскордонної ОВД базується на поєднанні міжнародних конвенцій, регіональних правових актів та національного законодавства. Особливу роль відіграють Конвенція Еспо та Орхуська конвенція, а також директиви Європейського Союзу, які формують єдині стандарти екологічної оцінки в європейському просторі.</w:t>
      </w:r>
    </w:p>
    <w:p w14:paraId="195D60EF" w14:textId="77777777" w:rsidR="00E62C75" w:rsidRPr="00FC0CBD" w:rsidRDefault="00000000" w:rsidP="003019B4">
      <w:pPr>
        <w:pStyle w:val="a8"/>
        <w:spacing w:beforeAutospacing="0" w:afterAutospacing="0" w:line="360" w:lineRule="auto"/>
        <w:ind w:firstLine="709"/>
        <w:jc w:val="both"/>
        <w:rPr>
          <w:sz w:val="28"/>
          <w:szCs w:val="28"/>
          <w:lang w:val="uk-UA"/>
        </w:rPr>
      </w:pPr>
      <w:r w:rsidRPr="00FC0CBD">
        <w:rPr>
          <w:sz w:val="28"/>
          <w:szCs w:val="28"/>
          <w:lang w:val="uk-UA"/>
        </w:rPr>
        <w:t>Таким чином, у першому розділі доведено, що транскордонна оцінка впливу на довкілля є складним багаторівневим механізмом міжнародного екологічного управління, який поєднує правові, організаційні та інституційні елементи. Її розвиток тісно пов’язаний із процесами глобалізації, європейської інтеграції та необхідністю забезпечення екологічної безпеки на міжнародному рівні.</w:t>
      </w:r>
    </w:p>
    <w:p w14:paraId="2E5C60A1" w14:textId="77777777" w:rsidR="00E62C75" w:rsidRPr="00FC0CBD" w:rsidRDefault="00E62C75">
      <w:pPr>
        <w:pStyle w:val="a8"/>
        <w:spacing w:beforeAutospacing="0" w:afterAutospacing="0" w:line="360" w:lineRule="auto"/>
        <w:ind w:firstLineChars="166" w:firstLine="465"/>
        <w:jc w:val="both"/>
        <w:rPr>
          <w:sz w:val="28"/>
          <w:szCs w:val="28"/>
          <w:lang w:val="uk-UA"/>
        </w:rPr>
      </w:pPr>
    </w:p>
    <w:p w14:paraId="28F3D5FC" w14:textId="77777777" w:rsidR="00E62C75" w:rsidRPr="00FC0CBD" w:rsidRDefault="00E62C75">
      <w:pPr>
        <w:pStyle w:val="a8"/>
        <w:spacing w:beforeAutospacing="0" w:afterAutospacing="0" w:line="360" w:lineRule="auto"/>
        <w:ind w:firstLineChars="166" w:firstLine="465"/>
        <w:jc w:val="both"/>
        <w:rPr>
          <w:sz w:val="28"/>
          <w:szCs w:val="28"/>
          <w:lang w:val="uk-UA"/>
        </w:rPr>
      </w:pPr>
    </w:p>
    <w:p w14:paraId="2D64E1B1" w14:textId="77777777" w:rsidR="00E62C75" w:rsidRPr="00FC0CBD" w:rsidRDefault="00E62C75">
      <w:pPr>
        <w:pStyle w:val="a8"/>
        <w:spacing w:beforeAutospacing="0" w:afterAutospacing="0" w:line="360" w:lineRule="auto"/>
        <w:ind w:firstLineChars="166" w:firstLine="465"/>
        <w:jc w:val="both"/>
        <w:rPr>
          <w:sz w:val="28"/>
          <w:szCs w:val="28"/>
          <w:lang w:val="uk-UA"/>
        </w:rPr>
      </w:pPr>
    </w:p>
    <w:p w14:paraId="1232FF2C" w14:textId="77777777" w:rsidR="00E62C75" w:rsidRPr="00FC0CBD" w:rsidRDefault="00E62C75">
      <w:pPr>
        <w:pStyle w:val="a8"/>
        <w:spacing w:beforeAutospacing="0" w:afterAutospacing="0" w:line="360" w:lineRule="auto"/>
        <w:ind w:firstLineChars="166" w:firstLine="465"/>
        <w:jc w:val="both"/>
        <w:rPr>
          <w:sz w:val="28"/>
          <w:szCs w:val="28"/>
          <w:lang w:val="uk-UA"/>
        </w:rPr>
      </w:pPr>
    </w:p>
    <w:p w14:paraId="4973F37B" w14:textId="77777777" w:rsidR="00E62C75" w:rsidRPr="00FC0CBD" w:rsidRDefault="00E62C75">
      <w:pPr>
        <w:pStyle w:val="a8"/>
        <w:spacing w:beforeAutospacing="0" w:afterAutospacing="0" w:line="360" w:lineRule="auto"/>
        <w:ind w:rightChars="19" w:right="38" w:firstLineChars="166" w:firstLine="465"/>
        <w:jc w:val="both"/>
        <w:rPr>
          <w:sz w:val="28"/>
          <w:szCs w:val="28"/>
          <w:lang w:val="uk-UA"/>
        </w:rPr>
      </w:pPr>
    </w:p>
    <w:p w14:paraId="6E1A862E" w14:textId="77777777" w:rsidR="00E62C75" w:rsidRPr="00FC0CBD" w:rsidRDefault="00E62C75" w:rsidP="003019B4">
      <w:pPr>
        <w:pStyle w:val="a8"/>
        <w:spacing w:beforeAutospacing="0" w:afterAutospacing="0" w:line="360" w:lineRule="auto"/>
        <w:ind w:rightChars="19" w:right="38"/>
        <w:jc w:val="both"/>
        <w:rPr>
          <w:sz w:val="28"/>
          <w:szCs w:val="28"/>
          <w:lang w:val="uk-UA"/>
        </w:rPr>
      </w:pPr>
    </w:p>
    <w:p w14:paraId="0A9A8461" w14:textId="77777777" w:rsidR="00E62C75" w:rsidRPr="00FC0CBD" w:rsidRDefault="00E62C75">
      <w:pPr>
        <w:pStyle w:val="a8"/>
        <w:spacing w:beforeAutospacing="0" w:afterAutospacing="0" w:line="360" w:lineRule="auto"/>
        <w:ind w:rightChars="19" w:right="38" w:firstLineChars="166" w:firstLine="465"/>
        <w:jc w:val="both"/>
        <w:rPr>
          <w:sz w:val="28"/>
          <w:szCs w:val="28"/>
          <w:lang w:val="uk-UA"/>
        </w:rPr>
      </w:pPr>
    </w:p>
    <w:p w14:paraId="64D545D8" w14:textId="77777777" w:rsidR="00E62C75" w:rsidRPr="00FC0CBD" w:rsidRDefault="00E62C75">
      <w:pPr>
        <w:pStyle w:val="a8"/>
        <w:spacing w:beforeAutospacing="0" w:afterAutospacing="0" w:line="360" w:lineRule="auto"/>
        <w:ind w:rightChars="19" w:right="38" w:firstLineChars="166" w:firstLine="465"/>
        <w:jc w:val="both"/>
        <w:rPr>
          <w:sz w:val="28"/>
          <w:szCs w:val="28"/>
          <w:lang w:val="uk-UA"/>
        </w:rPr>
      </w:pPr>
    </w:p>
    <w:p w14:paraId="4356DC55" w14:textId="1570F28B" w:rsidR="00FC0CBD" w:rsidRDefault="00FC0CBD">
      <w:pPr>
        <w:rPr>
          <w:rFonts w:ascii="Times New Roman" w:eastAsia="SimSun" w:hAnsi="Times New Roman" w:cs="Times New Roman"/>
          <w:b/>
          <w:bCs/>
          <w:sz w:val="28"/>
          <w:szCs w:val="28"/>
          <w:lang w:val="uk-UA"/>
        </w:rPr>
      </w:pPr>
    </w:p>
    <w:p w14:paraId="4B488CB9" w14:textId="294B2854" w:rsidR="00E62C75" w:rsidRPr="00FC0CBD" w:rsidRDefault="00000000">
      <w:pPr>
        <w:pStyle w:val="a8"/>
        <w:spacing w:beforeAutospacing="0" w:afterAutospacing="0" w:line="360" w:lineRule="auto"/>
        <w:ind w:rightChars="19" w:right="38" w:firstLineChars="166" w:firstLine="467"/>
        <w:jc w:val="center"/>
        <w:rPr>
          <w:b/>
          <w:bCs/>
          <w:sz w:val="28"/>
          <w:szCs w:val="28"/>
          <w:lang w:val="uk-UA"/>
        </w:rPr>
      </w:pPr>
      <w:r w:rsidRPr="00FC0CBD">
        <w:rPr>
          <w:b/>
          <w:bCs/>
          <w:sz w:val="28"/>
          <w:szCs w:val="28"/>
          <w:lang w:val="uk-UA"/>
        </w:rPr>
        <w:lastRenderedPageBreak/>
        <w:t>РОЗДІЛ 2. МІЖНАРОДНИЙ ДОСВІД РЕАЛІЗАЦІЇ ТРАНСКОРДОННОЇ ОЦІНКИ ВПЛИВУ НА ДОВКІЛЛЯ (ОВД)</w:t>
      </w:r>
    </w:p>
    <w:p w14:paraId="394B805B" w14:textId="77777777" w:rsidR="00E62C75" w:rsidRPr="00FC0CBD" w:rsidRDefault="00E62C75">
      <w:pPr>
        <w:pStyle w:val="a8"/>
        <w:spacing w:beforeAutospacing="0" w:afterAutospacing="0" w:line="360" w:lineRule="auto"/>
        <w:ind w:rightChars="19" w:right="38" w:firstLineChars="166" w:firstLine="465"/>
        <w:jc w:val="both"/>
        <w:rPr>
          <w:sz w:val="28"/>
          <w:szCs w:val="28"/>
          <w:lang w:val="uk-UA"/>
        </w:rPr>
      </w:pPr>
    </w:p>
    <w:p w14:paraId="2087F329" w14:textId="77777777" w:rsidR="00E62C75" w:rsidRPr="00FC0CBD" w:rsidRDefault="00000000" w:rsidP="006516F4">
      <w:pPr>
        <w:pStyle w:val="a8"/>
        <w:spacing w:beforeAutospacing="0" w:afterAutospacing="0" w:line="360" w:lineRule="auto"/>
        <w:ind w:rightChars="19" w:right="38" w:firstLine="709"/>
        <w:jc w:val="both"/>
        <w:rPr>
          <w:b/>
          <w:bCs/>
          <w:sz w:val="28"/>
          <w:szCs w:val="28"/>
          <w:lang w:val="uk-UA"/>
        </w:rPr>
      </w:pPr>
      <w:r w:rsidRPr="00FC0CBD">
        <w:rPr>
          <w:b/>
          <w:bCs/>
          <w:sz w:val="28"/>
          <w:szCs w:val="28"/>
          <w:lang w:val="uk-UA"/>
        </w:rPr>
        <w:t>2.1. Нормативно-правові засади транскордонної ОВД</w:t>
      </w:r>
    </w:p>
    <w:p w14:paraId="1A88260B"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Нормативно-правове регулювання транскордонної оцінки впливу на довкілля є складною багаторівневою системою, яка поєднує норми міжнародного права, регіональні угоди та національне законодавство окремих держав. Такий підхід сформувався через специфіку самої проблеми, адже екологічні наслідки господарської діяльності часто виходять за межі однієї країни і потребують узгоджених дій кількох держав одночасно.</w:t>
      </w:r>
    </w:p>
    <w:p w14:paraId="742825AC"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Основою сучасної системи транскордонної ОВД є міжнародні договори, які визначають загальні принципи та обов’язки держав. Найбільш важливим серед них є Конвенція про оцінку впливу на навколишнє середовище у транскордонному контексті, відома як Конвенція Еспо 1991 року. Вона була розроблена під егідою Європейської економічної комісії ООН і стала першим міжнародним документом, який комплексно врегулював процедури оцінки впливу на довкілля у випадках, коли планована діяльність може мати наслідки для інших держав [20].</w:t>
      </w:r>
    </w:p>
    <w:p w14:paraId="433A21BC"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Конвенція Еспо закріплює базові зобов’язання держав щодо попередження транскордонної шкоди довкіллю. Вона передбачає, що країна походження проєкту повинна своєчасно повідомити потенційно зачеплену державу про заплановану діяльність, надати всю необхідну екологічну інформацію та забезпечити можливість участі в процесі оцінки. Крім того, документ встановлює обов’язковість проведення консультацій між державами, якщо існує ймовірність значного транскордонного впливу.</w:t>
      </w:r>
    </w:p>
    <w:p w14:paraId="282CF2A7"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 xml:space="preserve">Важливою складовою міжнародно-правової бази є також Орхуська конвенція 1998 року, яка розширює права громадськості у сфері екологічного управління. Вона гарантує доступ до екологічної інформації, участь у прийнятті рішень та доступ до правосуддя. У контексті транскордонної ОВД ця конвенція </w:t>
      </w:r>
      <w:r w:rsidRPr="00FC0CBD">
        <w:rPr>
          <w:sz w:val="28"/>
          <w:szCs w:val="28"/>
          <w:lang w:val="uk-UA"/>
        </w:rPr>
        <w:lastRenderedPageBreak/>
        <w:t>має особливе значення, оскільки забезпечує можливість участі громадян не лише країни реалізації проєкту, а й держав, які можуть зазнати його впливу [16].</w:t>
      </w:r>
    </w:p>
    <w:p w14:paraId="5F65C3D6"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На рівні Європейського Союзу нормативно-правове регулювання транскордонної ОВД здійснюється через систему директив, які є обов’язковими для держав-членів. Центральне місце серед них займає Директива 2011/92/ЄС Європейського Парламенту і Ради про оцінку впливу окремих державних і приватних проєктів на довкілля, зі змінами, внесеними Директивою 2014/52/ЄС. Ці документи визначають єдині стандарти проведення ОВД, включаючи вимоги до змісту звітів, процедури громадських консультацій та порядок врахування екологічних факторів при прийнятті рішень [17; 18].</w:t>
      </w:r>
    </w:p>
    <w:p w14:paraId="5E16DA68"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Європейське законодавство фактично деталізує та доповнює положення Конвенції Еспо, забезпечуючи більш уніфікований підхід до реалізації транскордонних процедур. Завдяки цьому в межах ЄС сформувалася відносно єдина система екологічного регулювання, яка сприяє узгодженню інтересів держав та зменшенню ризику транскордонних конфліктів.</w:t>
      </w:r>
    </w:p>
    <w:p w14:paraId="2DC5B6AD"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Окрему роль у нормативно-правовому регулюванні відіграє національне законодавство держав. Кожна країна імплементує міжнародні зобов’язання у власну правову систему з урахуванням особливостей адміністративного устрою та екологічної політики. В Україні ключовим нормативним актом у цій сфері є Закон України «Про оцінку впливу на довкілля» 2017 року, який визначає процедуру ОВД, права та обов’язки учасників процесу, а також механізми врахування транскордонного впливу [2].</w:t>
      </w:r>
    </w:p>
    <w:p w14:paraId="14FDDE19"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Закон України передбачає, що у випадках, коли планована діяльність може мати значний вплив на довкілля суміжних держав, уповноважений орган зобов’язаний здійснити міжнародне інформування та забезпечити проведення консультацій. Таким чином, українське законодавство формально відповідає міжнародним стандартам і базується на принципах Конвенції Еспо [20].</w:t>
      </w:r>
    </w:p>
    <w:p w14:paraId="6A3E10FD"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 xml:space="preserve">Важливим елементом нормативно-правової системи є також підзаконні акти, методичні рекомендації та інструкції, які деталізують порядок проведення оцінки впливу на довкілля. Вони регулюють технічні аспекти підготовки звітів, </w:t>
      </w:r>
      <w:r w:rsidRPr="00FC0CBD">
        <w:rPr>
          <w:sz w:val="28"/>
          <w:szCs w:val="28"/>
          <w:lang w:val="uk-UA"/>
        </w:rPr>
        <w:lastRenderedPageBreak/>
        <w:t>процедури громадських обговорень, строки розгляду документів та порядок взаємодії між органами влади різних держав.</w:t>
      </w:r>
    </w:p>
    <w:p w14:paraId="34A0A132" w14:textId="17CC0DCA"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Узагальнюючи, можна зазначити, що нормативно-правові засади транскордонної оцінки впливу на довкілля формують багаторівневу систему, яка поєднує міжнародні конвенції, регіональні правові акти та національне законодавство. Її ефективність залежить від узгодженості між цими рівнями, а також від практичного виконання державами взятих на себе зобов’язань. Саме на цій основі формується сучасна модель міжнародного екологічного співробітництва, яка спрямована на запобігання транскордонним екологічним ризикам і забезпечення сталого розвитку.</w:t>
      </w:r>
    </w:p>
    <w:p w14:paraId="1154C9EB" w14:textId="77777777" w:rsidR="00E62C75" w:rsidRPr="00FC0CBD" w:rsidRDefault="00000000" w:rsidP="006516F4">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2.2. Застосування транскордонної ОВД в країнах Європейського Союзу</w:t>
      </w:r>
    </w:p>
    <w:p w14:paraId="7CD2EC2C"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У країнах Європейського Союзу оцінка впливу на довкілля вже давно стала звичною частиною процесу планування будь-яких великих проєктів. Але якщо говорити саме про транскордонну ОВД, то тут підхід ще більш жорсткий і структурований, бо майже кожна країна ЄС має спільні кордони, річкові басейни та інфраструктурні зв’язки з сусідами. Через це будь-який великий проєкт потенційно може зачепити не одну, а кілька держав одразу.</w:t>
      </w:r>
    </w:p>
    <w:p w14:paraId="42BB4FD7"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Основою для всіх країн ЄС є Директива 2011/92/ЄС (зі змінами 2014/52/ЄС), яка встановлює єдині правила проведення ОВД. Але на практиці кожна країна має свої особливості впровадження цієї процедури, особливо коли йдеться про транскордонні випадки. Десь процес більш формалізований, а десь навпаки − активно залучають громадськість і екологічні організації ще на ранніх етапах.</w:t>
      </w:r>
    </w:p>
    <w:p w14:paraId="26F2CEB0"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Якщо подивитися загалом, то транскордонна ОВД в ЄС найчастіше застосовується у трьох ситуаціях:</w:t>
      </w:r>
    </w:p>
    <w:p w14:paraId="4BEFF8C6"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 xml:space="preserve">− будівництво великих енергетичних об’єктів (АЕС, ТЕС, вітропарки великої потужності); </w:t>
      </w:r>
    </w:p>
    <w:p w14:paraId="50279EAB"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 xml:space="preserve">− розвиток транспортної інфраструктури (автобани, залізниці, тунелі); </w:t>
      </w:r>
    </w:p>
    <w:p w14:paraId="1AFEDEB0" w14:textId="77777777" w:rsidR="00E62C75" w:rsidRPr="00FC0CBD"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lastRenderedPageBreak/>
        <w:t xml:space="preserve">− проєкти, пов’язані з водними ресурсами (дамби, регулювання річок, гідроелектростанції). </w:t>
      </w:r>
    </w:p>
    <w:p w14:paraId="3EB1D43D" w14:textId="77777777" w:rsidR="00E62C75" w:rsidRDefault="00000000" w:rsidP="006516F4">
      <w:pPr>
        <w:pStyle w:val="a8"/>
        <w:spacing w:beforeAutospacing="0" w:afterAutospacing="0" w:line="360" w:lineRule="auto"/>
        <w:ind w:firstLine="709"/>
        <w:jc w:val="both"/>
        <w:rPr>
          <w:sz w:val="28"/>
          <w:szCs w:val="28"/>
          <w:lang w:val="uk-UA"/>
        </w:rPr>
      </w:pPr>
      <w:r w:rsidRPr="00FC0CBD">
        <w:rPr>
          <w:sz w:val="28"/>
          <w:szCs w:val="28"/>
          <w:lang w:val="uk-UA"/>
        </w:rPr>
        <w:t>Особливість ЄС у тому, що тут транскордонна ОВД не є формальністю. Якщо є ризик впливу на іншу країну, процес обов’язково запускається, навіть якщо вплив здається незначним [21].</w:t>
      </w:r>
    </w:p>
    <w:p w14:paraId="2A29E9DC" w14:textId="22590089" w:rsidR="00FC0CBD" w:rsidRPr="00FC0CBD" w:rsidRDefault="00FC0CBD" w:rsidP="006516F4">
      <w:pPr>
        <w:pStyle w:val="a8"/>
        <w:spacing w:beforeAutospacing="0" w:afterAutospacing="0" w:line="360" w:lineRule="auto"/>
        <w:ind w:firstLine="709"/>
        <w:jc w:val="both"/>
        <w:rPr>
          <w:sz w:val="28"/>
          <w:szCs w:val="28"/>
          <w:lang w:val="uk-UA"/>
        </w:rPr>
      </w:pPr>
      <w:r>
        <w:rPr>
          <w:sz w:val="28"/>
          <w:szCs w:val="28"/>
          <w:lang w:val="uk-UA"/>
        </w:rPr>
        <w:t>Приклади з</w:t>
      </w:r>
      <w:r w:rsidRPr="00FC0CBD">
        <w:rPr>
          <w:sz w:val="28"/>
          <w:szCs w:val="28"/>
          <w:lang w:val="uk-UA"/>
        </w:rPr>
        <w:t>астосування транскордонної ОВД в країнах ЄС</w:t>
      </w:r>
      <w:r>
        <w:rPr>
          <w:sz w:val="28"/>
          <w:szCs w:val="28"/>
          <w:lang w:val="uk-UA"/>
        </w:rPr>
        <w:t xml:space="preserve"> наведено в табл</w:t>
      </w:r>
      <w:r w:rsidR="006516F4">
        <w:rPr>
          <w:sz w:val="28"/>
          <w:szCs w:val="28"/>
          <w:lang w:val="uk-UA"/>
        </w:rPr>
        <w:t>. </w:t>
      </w:r>
      <w:r>
        <w:rPr>
          <w:sz w:val="28"/>
          <w:szCs w:val="28"/>
          <w:lang w:val="uk-UA"/>
        </w:rPr>
        <w:t>2.1.</w:t>
      </w:r>
    </w:p>
    <w:p w14:paraId="4727FAE2" w14:textId="124CC2D2" w:rsidR="00E62C75" w:rsidRPr="006516F4" w:rsidRDefault="00000000">
      <w:pPr>
        <w:pStyle w:val="3"/>
        <w:spacing w:beforeAutospacing="0" w:afterAutospacing="0" w:line="360" w:lineRule="auto"/>
        <w:ind w:firstLineChars="166" w:firstLine="398"/>
        <w:jc w:val="right"/>
        <w:rPr>
          <w:rFonts w:ascii="Times New Roman" w:hAnsi="Times New Roman" w:hint="default"/>
          <w:b w:val="0"/>
          <w:bCs w:val="0"/>
          <w:sz w:val="24"/>
          <w:szCs w:val="24"/>
          <w:lang w:val="uk-UA"/>
        </w:rPr>
      </w:pPr>
      <w:r w:rsidRPr="006516F4">
        <w:rPr>
          <w:rFonts w:ascii="Times New Roman" w:hAnsi="Times New Roman" w:hint="default"/>
          <w:b w:val="0"/>
          <w:bCs w:val="0"/>
          <w:sz w:val="24"/>
          <w:szCs w:val="24"/>
          <w:lang w:val="uk-UA"/>
        </w:rPr>
        <w:t>Таблиця 2.1</w:t>
      </w:r>
      <w:r w:rsidR="002763DC">
        <w:rPr>
          <w:rFonts w:ascii="Times New Roman" w:hAnsi="Times New Roman" w:hint="default"/>
          <w:b w:val="0"/>
          <w:bCs w:val="0"/>
          <w:sz w:val="24"/>
          <w:szCs w:val="24"/>
          <w:lang w:val="uk-UA"/>
        </w:rPr>
        <w:t>.</w:t>
      </w:r>
    </w:p>
    <w:p w14:paraId="63D077F5" w14:textId="77777777" w:rsidR="00E62C75" w:rsidRPr="006516F4" w:rsidRDefault="00000000" w:rsidP="006516F4">
      <w:pPr>
        <w:pStyle w:val="a8"/>
        <w:spacing w:beforeAutospacing="0" w:afterAutospacing="0"/>
        <w:ind w:firstLineChars="166" w:firstLine="400"/>
        <w:jc w:val="center"/>
        <w:rPr>
          <w:rStyle w:val="a4"/>
          <w:lang w:val="uk-UA"/>
        </w:rPr>
      </w:pPr>
      <w:r w:rsidRPr="006516F4">
        <w:rPr>
          <w:rStyle w:val="a4"/>
          <w:lang w:val="uk-UA"/>
        </w:rPr>
        <w:t>Застосування транскордонної ОВД в окремих країнах ЄС</w:t>
      </w:r>
    </w:p>
    <w:p w14:paraId="18C637E9" w14:textId="356D1786" w:rsidR="006516F4" w:rsidRPr="006516F4" w:rsidRDefault="006516F4" w:rsidP="006516F4">
      <w:pPr>
        <w:pStyle w:val="a8"/>
        <w:spacing w:beforeAutospacing="0" w:afterAutospacing="0"/>
        <w:ind w:firstLineChars="166" w:firstLine="400"/>
        <w:jc w:val="center"/>
        <w:rPr>
          <w:b/>
          <w:bCs/>
          <w:lang w:val="uk-UA"/>
        </w:rPr>
      </w:pPr>
      <w:r w:rsidRPr="002763DC">
        <w:rPr>
          <w:rStyle w:val="a4"/>
          <w:lang w:val="uk-UA"/>
        </w:rPr>
        <w:t>(</w:t>
      </w:r>
      <w:r w:rsidRPr="006516F4">
        <w:rPr>
          <w:b/>
          <w:bCs/>
          <w:lang w:val="uk-UA"/>
        </w:rPr>
        <w:t>складено автором на основі Директиви 2011/92/ЄС Європейського Парламенту і Ради, матеріалів Європейської комісії та практики застосування Конвенції Еспо в країнах ЄС [16; 20; 21]</w:t>
      </w:r>
      <w:r w:rsidRPr="002763DC">
        <w:rPr>
          <w:rStyle w:val="a4"/>
          <w:lang w:val="uk-UA"/>
        </w:rPr>
        <w:t xml:space="preserve">) </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1228"/>
        <w:gridCol w:w="5208"/>
        <w:gridCol w:w="3193"/>
      </w:tblGrid>
      <w:tr w:rsidR="00E62C75" w:rsidRPr="006516F4" w14:paraId="1CEAFAE5" w14:textId="77777777">
        <w:trPr>
          <w:tblHeader/>
        </w:trPr>
        <w:tc>
          <w:tcPr>
            <w:tcW w:w="0" w:type="auto"/>
            <w:tcBorders>
              <w:tl2br w:val="nil"/>
              <w:tr2bl w:val="nil"/>
            </w:tcBorders>
            <w:shd w:val="clear" w:color="auto" w:fill="auto"/>
            <w:vAlign w:val="center"/>
          </w:tcPr>
          <w:p w14:paraId="4F96D343" w14:textId="77777777" w:rsidR="00E62C75" w:rsidRPr="006516F4" w:rsidRDefault="00000000">
            <w:pPr>
              <w:jc w:val="center"/>
              <w:rPr>
                <w:rFonts w:ascii="Times New Roman" w:hAnsi="Times New Roman" w:cs="Times New Roman"/>
                <w:b/>
                <w:bCs/>
                <w:sz w:val="24"/>
                <w:szCs w:val="24"/>
                <w:lang w:val="uk-UA"/>
              </w:rPr>
            </w:pPr>
            <w:r w:rsidRPr="006516F4">
              <w:rPr>
                <w:rFonts w:ascii="Times New Roman" w:eastAsia="SimSun" w:hAnsi="Times New Roman" w:cs="Times New Roman"/>
                <w:b/>
                <w:bCs/>
                <w:sz w:val="24"/>
                <w:szCs w:val="24"/>
                <w:lang w:val="uk-UA" w:bidi="ar"/>
              </w:rPr>
              <w:t>Країна</w:t>
            </w:r>
          </w:p>
        </w:tc>
        <w:tc>
          <w:tcPr>
            <w:tcW w:w="0" w:type="auto"/>
            <w:tcBorders>
              <w:tl2br w:val="nil"/>
              <w:tr2bl w:val="nil"/>
            </w:tcBorders>
            <w:shd w:val="clear" w:color="auto" w:fill="auto"/>
            <w:vAlign w:val="center"/>
          </w:tcPr>
          <w:p w14:paraId="68338256" w14:textId="77777777" w:rsidR="00E62C75" w:rsidRPr="006516F4" w:rsidRDefault="00000000">
            <w:pPr>
              <w:jc w:val="center"/>
              <w:rPr>
                <w:rFonts w:ascii="Times New Roman" w:hAnsi="Times New Roman" w:cs="Times New Roman"/>
                <w:b/>
                <w:bCs/>
                <w:sz w:val="24"/>
                <w:szCs w:val="24"/>
                <w:lang w:val="uk-UA"/>
              </w:rPr>
            </w:pPr>
            <w:r w:rsidRPr="006516F4">
              <w:rPr>
                <w:rFonts w:ascii="Times New Roman" w:eastAsia="SimSun" w:hAnsi="Times New Roman" w:cs="Times New Roman"/>
                <w:b/>
                <w:bCs/>
                <w:sz w:val="24"/>
                <w:szCs w:val="24"/>
                <w:lang w:val="uk-UA" w:bidi="ar"/>
              </w:rPr>
              <w:t>Особливості застосування транскордонної ОВД</w:t>
            </w:r>
          </w:p>
        </w:tc>
        <w:tc>
          <w:tcPr>
            <w:tcW w:w="0" w:type="auto"/>
            <w:tcBorders>
              <w:tl2br w:val="nil"/>
              <w:tr2bl w:val="nil"/>
            </w:tcBorders>
            <w:shd w:val="clear" w:color="auto" w:fill="auto"/>
            <w:vAlign w:val="center"/>
          </w:tcPr>
          <w:p w14:paraId="1B1C04A5" w14:textId="77777777" w:rsidR="00E62C75" w:rsidRPr="006516F4" w:rsidRDefault="00000000">
            <w:pPr>
              <w:jc w:val="center"/>
              <w:rPr>
                <w:rFonts w:ascii="Times New Roman" w:hAnsi="Times New Roman" w:cs="Times New Roman"/>
                <w:b/>
                <w:bCs/>
                <w:sz w:val="24"/>
                <w:szCs w:val="24"/>
                <w:lang w:val="uk-UA"/>
              </w:rPr>
            </w:pPr>
            <w:r w:rsidRPr="006516F4">
              <w:rPr>
                <w:rFonts w:ascii="Times New Roman" w:eastAsia="SimSun" w:hAnsi="Times New Roman" w:cs="Times New Roman"/>
                <w:b/>
                <w:bCs/>
                <w:sz w:val="24"/>
                <w:szCs w:val="24"/>
                <w:lang w:val="uk-UA" w:bidi="ar"/>
              </w:rPr>
              <w:t>Типові приклади проєктів</w:t>
            </w:r>
          </w:p>
        </w:tc>
      </w:tr>
      <w:tr w:rsidR="00E62C75" w:rsidRPr="00E432DD" w14:paraId="75494D61" w14:textId="77777777">
        <w:tc>
          <w:tcPr>
            <w:tcW w:w="0" w:type="auto"/>
            <w:tcBorders>
              <w:tl2br w:val="nil"/>
              <w:tr2bl w:val="nil"/>
            </w:tcBorders>
            <w:shd w:val="clear" w:color="auto" w:fill="auto"/>
            <w:vAlign w:val="center"/>
          </w:tcPr>
          <w:p w14:paraId="7DA7EB92"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Німеччина</w:t>
            </w:r>
          </w:p>
        </w:tc>
        <w:tc>
          <w:tcPr>
            <w:tcW w:w="0" w:type="auto"/>
            <w:tcBorders>
              <w:tl2br w:val="nil"/>
              <w:tr2bl w:val="nil"/>
            </w:tcBorders>
            <w:shd w:val="clear" w:color="auto" w:fill="auto"/>
            <w:vAlign w:val="center"/>
          </w:tcPr>
          <w:p w14:paraId="2E052BB6"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Дуже формалізована процедура, активна участь федеральних земель і громадськості</w:t>
            </w:r>
          </w:p>
        </w:tc>
        <w:tc>
          <w:tcPr>
            <w:tcW w:w="0" w:type="auto"/>
            <w:tcBorders>
              <w:tl2br w:val="nil"/>
              <w:tr2bl w:val="nil"/>
            </w:tcBorders>
            <w:shd w:val="clear" w:color="auto" w:fill="auto"/>
            <w:vAlign w:val="center"/>
          </w:tcPr>
          <w:p w14:paraId="176ABFB5"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Автобани, вугільні ТЕС, вітрові електростанції</w:t>
            </w:r>
          </w:p>
        </w:tc>
      </w:tr>
      <w:tr w:rsidR="00E62C75" w:rsidRPr="00E432DD" w14:paraId="3135B0C7" w14:textId="77777777">
        <w:tc>
          <w:tcPr>
            <w:tcW w:w="0" w:type="auto"/>
            <w:tcBorders>
              <w:tl2br w:val="nil"/>
              <w:tr2bl w:val="nil"/>
            </w:tcBorders>
            <w:shd w:val="clear" w:color="auto" w:fill="auto"/>
            <w:vAlign w:val="center"/>
          </w:tcPr>
          <w:p w14:paraId="182A7F26"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Франція</w:t>
            </w:r>
          </w:p>
        </w:tc>
        <w:tc>
          <w:tcPr>
            <w:tcW w:w="0" w:type="auto"/>
            <w:tcBorders>
              <w:tl2br w:val="nil"/>
              <w:tr2bl w:val="nil"/>
            </w:tcBorders>
            <w:shd w:val="clear" w:color="auto" w:fill="auto"/>
            <w:vAlign w:val="center"/>
          </w:tcPr>
          <w:p w14:paraId="315C807D"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Сильний державний контроль, велика увага до експертиз і безпеки</w:t>
            </w:r>
          </w:p>
        </w:tc>
        <w:tc>
          <w:tcPr>
            <w:tcW w:w="0" w:type="auto"/>
            <w:tcBorders>
              <w:tl2br w:val="nil"/>
              <w:tr2bl w:val="nil"/>
            </w:tcBorders>
            <w:shd w:val="clear" w:color="auto" w:fill="auto"/>
            <w:vAlign w:val="center"/>
          </w:tcPr>
          <w:p w14:paraId="44BA1147"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АЕС, швидкісні залізниці (TGV), дамби</w:t>
            </w:r>
          </w:p>
        </w:tc>
      </w:tr>
      <w:tr w:rsidR="00E62C75" w:rsidRPr="006516F4" w14:paraId="5993A715" w14:textId="77777777">
        <w:tc>
          <w:tcPr>
            <w:tcW w:w="0" w:type="auto"/>
            <w:tcBorders>
              <w:tl2br w:val="nil"/>
              <w:tr2bl w:val="nil"/>
            </w:tcBorders>
            <w:shd w:val="clear" w:color="auto" w:fill="auto"/>
            <w:vAlign w:val="center"/>
          </w:tcPr>
          <w:p w14:paraId="73CB8FEA"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Польща</w:t>
            </w:r>
          </w:p>
        </w:tc>
        <w:tc>
          <w:tcPr>
            <w:tcW w:w="0" w:type="auto"/>
            <w:tcBorders>
              <w:tl2br w:val="nil"/>
              <w:tr2bl w:val="nil"/>
            </w:tcBorders>
            <w:shd w:val="clear" w:color="auto" w:fill="auto"/>
            <w:vAlign w:val="center"/>
          </w:tcPr>
          <w:p w14:paraId="635D0B1A"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Часто застосовується через спільний кордон з Україною, Німеччиною, Чехією</w:t>
            </w:r>
          </w:p>
        </w:tc>
        <w:tc>
          <w:tcPr>
            <w:tcW w:w="0" w:type="auto"/>
            <w:tcBorders>
              <w:tl2br w:val="nil"/>
              <w:tr2bl w:val="nil"/>
            </w:tcBorders>
            <w:shd w:val="clear" w:color="auto" w:fill="auto"/>
            <w:vAlign w:val="center"/>
          </w:tcPr>
          <w:p w14:paraId="037FD178"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Автомагістралі, енергетичні проєкти, шахти</w:t>
            </w:r>
          </w:p>
        </w:tc>
      </w:tr>
      <w:tr w:rsidR="00E62C75" w:rsidRPr="00E432DD" w14:paraId="2F3DA2A3" w14:textId="77777777">
        <w:tc>
          <w:tcPr>
            <w:tcW w:w="0" w:type="auto"/>
            <w:tcBorders>
              <w:tl2br w:val="nil"/>
              <w:tr2bl w:val="nil"/>
            </w:tcBorders>
            <w:shd w:val="clear" w:color="auto" w:fill="auto"/>
            <w:vAlign w:val="center"/>
          </w:tcPr>
          <w:p w14:paraId="107DBD34"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Австрія</w:t>
            </w:r>
          </w:p>
        </w:tc>
        <w:tc>
          <w:tcPr>
            <w:tcW w:w="0" w:type="auto"/>
            <w:tcBorders>
              <w:tl2br w:val="nil"/>
              <w:tr2bl w:val="nil"/>
            </w:tcBorders>
            <w:shd w:val="clear" w:color="auto" w:fill="auto"/>
            <w:vAlign w:val="center"/>
          </w:tcPr>
          <w:p w14:paraId="42D02EEF"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Орієнтація на екологічні ризики, активна позиція громадськості</w:t>
            </w:r>
          </w:p>
        </w:tc>
        <w:tc>
          <w:tcPr>
            <w:tcW w:w="0" w:type="auto"/>
            <w:tcBorders>
              <w:tl2br w:val="nil"/>
              <w:tr2bl w:val="nil"/>
            </w:tcBorders>
            <w:shd w:val="clear" w:color="auto" w:fill="auto"/>
            <w:vAlign w:val="center"/>
          </w:tcPr>
          <w:p w14:paraId="47A565C2"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ГЕС на Дунаї, транспортні тунелі в Альпах</w:t>
            </w:r>
          </w:p>
        </w:tc>
      </w:tr>
      <w:tr w:rsidR="00E62C75" w:rsidRPr="006516F4" w14:paraId="3D29101A" w14:textId="77777777">
        <w:tc>
          <w:tcPr>
            <w:tcW w:w="0" w:type="auto"/>
            <w:tcBorders>
              <w:tl2br w:val="nil"/>
              <w:tr2bl w:val="nil"/>
            </w:tcBorders>
            <w:shd w:val="clear" w:color="auto" w:fill="auto"/>
            <w:vAlign w:val="center"/>
          </w:tcPr>
          <w:p w14:paraId="6A9514EA"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Чехія</w:t>
            </w:r>
          </w:p>
        </w:tc>
        <w:tc>
          <w:tcPr>
            <w:tcW w:w="0" w:type="auto"/>
            <w:tcBorders>
              <w:tl2br w:val="nil"/>
              <w:tr2bl w:val="nil"/>
            </w:tcBorders>
            <w:shd w:val="clear" w:color="auto" w:fill="auto"/>
            <w:vAlign w:val="center"/>
          </w:tcPr>
          <w:p w14:paraId="74503CB5"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Часті транскордонні процедури через щільну інфраструктуру з сусідами</w:t>
            </w:r>
          </w:p>
        </w:tc>
        <w:tc>
          <w:tcPr>
            <w:tcW w:w="0" w:type="auto"/>
            <w:tcBorders>
              <w:tl2br w:val="nil"/>
              <w:tr2bl w:val="nil"/>
            </w:tcBorders>
            <w:shd w:val="clear" w:color="auto" w:fill="auto"/>
            <w:vAlign w:val="center"/>
          </w:tcPr>
          <w:p w14:paraId="4535D494"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Енергетика, промислові об’єкти</w:t>
            </w:r>
          </w:p>
        </w:tc>
      </w:tr>
      <w:tr w:rsidR="00E62C75" w:rsidRPr="006516F4" w14:paraId="69177F40" w14:textId="77777777">
        <w:tc>
          <w:tcPr>
            <w:tcW w:w="0" w:type="auto"/>
            <w:tcBorders>
              <w:tl2br w:val="nil"/>
              <w:tr2bl w:val="nil"/>
            </w:tcBorders>
            <w:shd w:val="clear" w:color="auto" w:fill="auto"/>
            <w:vAlign w:val="center"/>
          </w:tcPr>
          <w:p w14:paraId="6B5B8338"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Нідерланди</w:t>
            </w:r>
          </w:p>
        </w:tc>
        <w:tc>
          <w:tcPr>
            <w:tcW w:w="0" w:type="auto"/>
            <w:tcBorders>
              <w:tl2br w:val="nil"/>
              <w:tr2bl w:val="nil"/>
            </w:tcBorders>
            <w:shd w:val="clear" w:color="auto" w:fill="auto"/>
            <w:vAlign w:val="center"/>
          </w:tcPr>
          <w:p w14:paraId="30C5EA04"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Високий рівень планування через щільну забудову і ризики затоплення</w:t>
            </w:r>
          </w:p>
        </w:tc>
        <w:tc>
          <w:tcPr>
            <w:tcW w:w="0" w:type="auto"/>
            <w:tcBorders>
              <w:tl2br w:val="nil"/>
              <w:tr2bl w:val="nil"/>
            </w:tcBorders>
            <w:shd w:val="clear" w:color="auto" w:fill="auto"/>
            <w:vAlign w:val="center"/>
          </w:tcPr>
          <w:p w14:paraId="33AF59DF"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Вітропарки, гідротехнічні системи</w:t>
            </w:r>
          </w:p>
        </w:tc>
      </w:tr>
      <w:tr w:rsidR="00E62C75" w:rsidRPr="006516F4" w14:paraId="52B4F7AE" w14:textId="77777777">
        <w:tc>
          <w:tcPr>
            <w:tcW w:w="0" w:type="auto"/>
            <w:tcBorders>
              <w:tl2br w:val="nil"/>
              <w:tr2bl w:val="nil"/>
            </w:tcBorders>
            <w:shd w:val="clear" w:color="auto" w:fill="auto"/>
            <w:vAlign w:val="center"/>
          </w:tcPr>
          <w:p w14:paraId="45799FC7"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Швеція</w:t>
            </w:r>
          </w:p>
        </w:tc>
        <w:tc>
          <w:tcPr>
            <w:tcW w:w="0" w:type="auto"/>
            <w:tcBorders>
              <w:tl2br w:val="nil"/>
              <w:tr2bl w:val="nil"/>
            </w:tcBorders>
            <w:shd w:val="clear" w:color="auto" w:fill="auto"/>
            <w:vAlign w:val="center"/>
          </w:tcPr>
          <w:p w14:paraId="65F373DA"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Велика увага до природоохоронних територій і біорізноманіття</w:t>
            </w:r>
          </w:p>
        </w:tc>
        <w:tc>
          <w:tcPr>
            <w:tcW w:w="0" w:type="auto"/>
            <w:tcBorders>
              <w:tl2br w:val="nil"/>
              <w:tr2bl w:val="nil"/>
            </w:tcBorders>
            <w:shd w:val="clear" w:color="auto" w:fill="auto"/>
            <w:vAlign w:val="center"/>
          </w:tcPr>
          <w:p w14:paraId="47B054E0" w14:textId="77777777" w:rsidR="00E62C75" w:rsidRPr="006516F4" w:rsidRDefault="00000000">
            <w:pPr>
              <w:jc w:val="center"/>
              <w:rPr>
                <w:rFonts w:ascii="Times New Roman" w:hAnsi="Times New Roman" w:cs="Times New Roman"/>
                <w:sz w:val="24"/>
                <w:szCs w:val="24"/>
                <w:lang w:val="uk-UA"/>
              </w:rPr>
            </w:pPr>
            <w:r w:rsidRPr="006516F4">
              <w:rPr>
                <w:rFonts w:ascii="Times New Roman" w:eastAsia="SimSun" w:hAnsi="Times New Roman" w:cs="Times New Roman"/>
                <w:sz w:val="24"/>
                <w:szCs w:val="24"/>
                <w:lang w:val="uk-UA" w:bidi="ar"/>
              </w:rPr>
              <w:t>ГЕС, гірничодобувні проєкти</w:t>
            </w:r>
          </w:p>
        </w:tc>
      </w:tr>
    </w:tbl>
    <w:p w14:paraId="2A4224C3" w14:textId="77777777" w:rsidR="00FC0CBD" w:rsidRPr="00FC0CBD" w:rsidRDefault="00FC0CBD" w:rsidP="006516F4">
      <w:pPr>
        <w:pStyle w:val="a8"/>
        <w:spacing w:beforeAutospacing="0" w:afterAutospacing="0" w:line="360" w:lineRule="auto"/>
        <w:jc w:val="both"/>
        <w:rPr>
          <w:sz w:val="28"/>
          <w:szCs w:val="28"/>
          <w:lang w:val="uk-UA"/>
        </w:rPr>
      </w:pPr>
    </w:p>
    <w:p w14:paraId="019D4697" w14:textId="79B818EA" w:rsidR="00E62C75" w:rsidRPr="00FC0CBD" w:rsidRDefault="006516F4" w:rsidP="006516F4">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002763DC">
        <w:rPr>
          <w:sz w:val="28"/>
          <w:szCs w:val="28"/>
          <w:lang w:val="uk-UA"/>
        </w:rPr>
        <w:t xml:space="preserve"> </w:t>
      </w:r>
      <w:r w:rsidRPr="00FC0CBD">
        <w:rPr>
          <w:sz w:val="28"/>
          <w:szCs w:val="28"/>
          <w:lang w:val="uk-UA"/>
        </w:rPr>
        <w:t>Як видно з табл</w:t>
      </w:r>
      <w:r>
        <w:rPr>
          <w:sz w:val="28"/>
          <w:szCs w:val="28"/>
          <w:lang w:val="uk-UA"/>
        </w:rPr>
        <w:t>.</w:t>
      </w:r>
      <w:r w:rsidR="00FC0CBD">
        <w:rPr>
          <w:sz w:val="28"/>
          <w:szCs w:val="28"/>
          <w:lang w:val="uk-UA"/>
        </w:rPr>
        <w:t xml:space="preserve"> 2.1</w:t>
      </w:r>
      <w:r w:rsidRPr="00FC0CBD">
        <w:rPr>
          <w:sz w:val="28"/>
          <w:szCs w:val="28"/>
          <w:lang w:val="uk-UA"/>
        </w:rPr>
        <w:t>, підхід у різних країнах ЄС досить схожий за структурою, але різниться за рівнем жорсткості та деталізації. Наприклад, у Німеччині велика увага приділяється громадським слуханням і участі місцевих громад, тоді як у Франції більше покладаються на державну експертизу та технічні оцінки.</w:t>
      </w:r>
    </w:p>
    <w:p w14:paraId="09A9CC4D" w14:textId="31C2CADB" w:rsidR="00E62C75" w:rsidRPr="00FC0CBD" w:rsidRDefault="002763DC" w:rsidP="006516F4">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Окремо варто сказати про роль громадськості. У більшості країн ЄС люди реально впливають на рішення. Це не просто формальні обговорення − у багатьох випадках проєкти змінюють або навіть зупиняють після негативної думки громад.</w:t>
      </w:r>
    </w:p>
    <w:p w14:paraId="520F575A" w14:textId="4907AA83" w:rsidR="00E62C75" w:rsidRPr="00FC0CBD" w:rsidRDefault="002763DC" w:rsidP="006516F4">
      <w:pPr>
        <w:pStyle w:val="a8"/>
        <w:spacing w:beforeAutospacing="0" w:afterAutospacing="0" w:line="360" w:lineRule="auto"/>
        <w:ind w:firstLineChars="166" w:firstLine="465"/>
        <w:jc w:val="both"/>
        <w:rPr>
          <w:sz w:val="28"/>
          <w:szCs w:val="28"/>
          <w:lang w:val="uk-UA"/>
        </w:rPr>
      </w:pPr>
      <w:r>
        <w:rPr>
          <w:sz w:val="28"/>
          <w:szCs w:val="28"/>
          <w:lang w:val="uk-UA"/>
        </w:rPr>
        <w:lastRenderedPageBreak/>
        <w:t xml:space="preserve">   </w:t>
      </w:r>
      <w:r w:rsidRPr="00FC0CBD">
        <w:rPr>
          <w:sz w:val="28"/>
          <w:szCs w:val="28"/>
          <w:lang w:val="uk-UA"/>
        </w:rPr>
        <w:t>Ще один важливий момент − це цифровізація процесів. У багатьох країнах (наприклад, у Нідерландах і Німеччині) документи з ОВД доступні онлайн, а консультації можуть проходити у змішаному форматі. Це робить процес більш прозорим і швидким.</w:t>
      </w:r>
    </w:p>
    <w:p w14:paraId="06BE5658" w14:textId="6E2B4D12" w:rsidR="00E62C75" w:rsidRPr="00FC0CBD" w:rsidRDefault="002763DC" w:rsidP="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Якщо узагальнити, то транскордонна ОВД в ЄС працює як реальний інструмент балансування інтересів країн. Вона допомагає уникати конфліктів, коли один проєкт може вплинути на сусідів, і водночас підвищує рівень екологічної безпеки в усьому регіоні.</w:t>
      </w:r>
      <w:r>
        <w:rPr>
          <w:sz w:val="28"/>
          <w:szCs w:val="28"/>
          <w:lang w:val="uk-UA"/>
        </w:rPr>
        <w:t xml:space="preserve"> </w:t>
      </w:r>
    </w:p>
    <w:p w14:paraId="4F031B73" w14:textId="77777777" w:rsidR="00E62C75" w:rsidRPr="00FC0CBD" w:rsidRDefault="00000000" w:rsidP="002763D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2.3. Механізми міждержавної взаємодії та участі громадськості в процедурах ОВД</w:t>
      </w:r>
    </w:p>
    <w:p w14:paraId="4540EE6F"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транскордонній оцінці впливу на довкілля важливу роль відіграє не тільки сам аналіз екологічних наслідків, а й те, як саме держави взаємодіють між собою під час цієї процедури. У реальній практиці це завжди кілька паралельних процесів: обмін інформацією між країнами, консультації на рівні уповноважених органів і залучення громадськості, яка може бути прямо або опосередковано зачеплена майбутнім проєктом.</w:t>
      </w:r>
    </w:p>
    <w:p w14:paraId="6707E220"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Європейському Союзі ці механізми досить чітко врегульовані. Базовою основою виступає Конвенція Еспо, яка задає загальну логіку: якщо проєкт може мати значний вплив на іншу державу, ця держава має право бути проінформованою і брати участь у процесі прийняття рішення. На практиці це виглядає як офіційне повідомлення, передача документації, консультації між органами влади і врахування зауважень [20].</w:t>
      </w:r>
    </w:p>
    <w:p w14:paraId="347AE29B"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Міждержавна взаємодія у межах транскордонної ОВД зазвичай проходить у кілька етапів. Спочатку держава, де планується проєкт, визначає потенційний транскордонний вплив. Після цього вона офіційно повідомляє іншу державу, яка може бути зачеплена. Далі починається обмін інформацією і, за потреби, спільні консультації.</w:t>
      </w:r>
    </w:p>
    <w:p w14:paraId="69542D3F" w14:textId="4E426036"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Найбільш поширеними механізмами є</w:t>
      </w:r>
      <w:r w:rsidR="00FC0CBD">
        <w:rPr>
          <w:sz w:val="28"/>
          <w:szCs w:val="28"/>
          <w:lang w:val="uk-UA"/>
        </w:rPr>
        <w:t xml:space="preserve"> (табл. 2.2)</w:t>
      </w:r>
      <w:r w:rsidRPr="00FC0CBD">
        <w:rPr>
          <w:sz w:val="28"/>
          <w:szCs w:val="28"/>
          <w:lang w:val="uk-UA"/>
        </w:rPr>
        <w:t>:</w:t>
      </w:r>
    </w:p>
    <w:p w14:paraId="5D58BB07"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офіційне транскордонне повідомлення про проєкт; </w:t>
      </w:r>
    </w:p>
    <w:p w14:paraId="300BE006"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передача звіту з оцінки впливу на довкілля;</w:t>
      </w:r>
    </w:p>
    <w:p w14:paraId="529E0FE9"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lastRenderedPageBreak/>
        <w:t xml:space="preserve">− письмові зауваження і пропозиції між державами; </w:t>
      </w:r>
    </w:p>
    <w:p w14:paraId="14D52D4C"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двосторонні або багатосторонні консультації; </w:t>
      </w:r>
    </w:p>
    <w:p w14:paraId="5137734E"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створення спільних робочих груп або комісій; </w:t>
      </w:r>
    </w:p>
    <w:p w14:paraId="574F681A"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врахування підсумків консультацій у фінальному рішенні. </w:t>
      </w:r>
    </w:p>
    <w:p w14:paraId="1C599573"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деяких випадках держави також укладають додаткові двосторонні угоди, які деталізують порядок співпраці. Це особливо характерно для країн, які мають спільні річкові басейни або щільно пов’язані інфраструктурні системи.</w:t>
      </w:r>
    </w:p>
    <w:p w14:paraId="33C714C0" w14:textId="7C34D7EE" w:rsidR="00E62C75" w:rsidRPr="002763DC" w:rsidRDefault="00000000">
      <w:pPr>
        <w:pStyle w:val="3"/>
        <w:spacing w:beforeAutospacing="0" w:afterAutospacing="0" w:line="360" w:lineRule="auto"/>
        <w:ind w:firstLineChars="166" w:firstLine="398"/>
        <w:jc w:val="right"/>
        <w:rPr>
          <w:rFonts w:ascii="Times New Roman" w:hAnsi="Times New Roman" w:hint="default"/>
          <w:b w:val="0"/>
          <w:bCs w:val="0"/>
          <w:sz w:val="24"/>
          <w:szCs w:val="24"/>
          <w:lang w:val="uk-UA"/>
        </w:rPr>
      </w:pPr>
      <w:r w:rsidRPr="002763DC">
        <w:rPr>
          <w:rFonts w:ascii="Times New Roman" w:hAnsi="Times New Roman" w:hint="default"/>
          <w:b w:val="0"/>
          <w:bCs w:val="0"/>
          <w:sz w:val="24"/>
          <w:szCs w:val="24"/>
          <w:lang w:val="uk-UA"/>
        </w:rPr>
        <w:t>Таблиця 2.2</w:t>
      </w:r>
      <w:r w:rsidR="002763DC">
        <w:rPr>
          <w:rFonts w:ascii="Times New Roman" w:hAnsi="Times New Roman" w:hint="default"/>
          <w:b w:val="0"/>
          <w:bCs w:val="0"/>
          <w:sz w:val="24"/>
          <w:szCs w:val="24"/>
          <w:lang w:val="uk-UA"/>
        </w:rPr>
        <w:t>.</w:t>
      </w:r>
    </w:p>
    <w:p w14:paraId="7773D786" w14:textId="77777777" w:rsidR="00E62C75" w:rsidRPr="002763DC" w:rsidRDefault="00000000" w:rsidP="002763DC">
      <w:pPr>
        <w:pStyle w:val="a8"/>
        <w:spacing w:beforeAutospacing="0" w:afterAutospacing="0"/>
        <w:ind w:firstLineChars="166" w:firstLine="400"/>
        <w:jc w:val="center"/>
        <w:rPr>
          <w:rStyle w:val="a4"/>
          <w:lang w:val="uk-UA"/>
        </w:rPr>
      </w:pPr>
      <w:r w:rsidRPr="002763DC">
        <w:rPr>
          <w:rStyle w:val="a4"/>
          <w:lang w:val="uk-UA"/>
        </w:rPr>
        <w:t>Основні механізми міждержавної взаємодії у транскордонній ОВД</w:t>
      </w:r>
    </w:p>
    <w:p w14:paraId="46E0CBFC" w14:textId="6442AE05" w:rsidR="002763DC" w:rsidRPr="002763DC" w:rsidRDefault="002763DC" w:rsidP="002763DC">
      <w:pPr>
        <w:pStyle w:val="a8"/>
        <w:spacing w:beforeAutospacing="0" w:afterAutospacing="0"/>
        <w:ind w:firstLineChars="166" w:firstLine="400"/>
        <w:jc w:val="center"/>
        <w:rPr>
          <w:lang w:val="uk-UA"/>
        </w:rPr>
      </w:pPr>
      <w:r w:rsidRPr="002763DC">
        <w:rPr>
          <w:rStyle w:val="a4"/>
          <w:lang w:val="uk-UA"/>
        </w:rPr>
        <w:t>(</w:t>
      </w:r>
      <w:r w:rsidRPr="002763DC">
        <w:rPr>
          <w:b/>
          <w:bCs/>
          <w:lang w:val="uk-UA"/>
        </w:rPr>
        <w:t>складено автором на основі положень Конвенції Еспо (1991 р.) та практики застосування директив ЄС у сфері ОВД [20; 21</w:t>
      </w:r>
      <w:r w:rsidRPr="002763DC">
        <w:rPr>
          <w:lang w:val="uk-UA"/>
        </w:rPr>
        <w:t>]</w:t>
      </w:r>
      <w:r w:rsidRPr="002763DC">
        <w:rPr>
          <w:rStyle w:val="a4"/>
          <w:lang w:val="uk-UA"/>
        </w:rPr>
        <w:t>)</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2048"/>
        <w:gridCol w:w="4449"/>
        <w:gridCol w:w="3132"/>
      </w:tblGrid>
      <w:tr w:rsidR="00E62C75" w:rsidRPr="002763DC" w14:paraId="7001D574" w14:textId="77777777">
        <w:trPr>
          <w:tblHeader/>
        </w:trPr>
        <w:tc>
          <w:tcPr>
            <w:tcW w:w="0" w:type="auto"/>
            <w:tcBorders>
              <w:tl2br w:val="nil"/>
              <w:tr2bl w:val="nil"/>
            </w:tcBorders>
            <w:shd w:val="clear" w:color="auto" w:fill="auto"/>
            <w:vAlign w:val="center"/>
          </w:tcPr>
          <w:p w14:paraId="32201E5A"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Механізм</w:t>
            </w:r>
          </w:p>
        </w:tc>
        <w:tc>
          <w:tcPr>
            <w:tcW w:w="0" w:type="auto"/>
            <w:tcBorders>
              <w:tl2br w:val="nil"/>
              <w:tr2bl w:val="nil"/>
            </w:tcBorders>
            <w:shd w:val="clear" w:color="auto" w:fill="auto"/>
            <w:vAlign w:val="center"/>
          </w:tcPr>
          <w:p w14:paraId="1539211D"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Зміст</w:t>
            </w:r>
          </w:p>
        </w:tc>
        <w:tc>
          <w:tcPr>
            <w:tcW w:w="0" w:type="auto"/>
            <w:tcBorders>
              <w:tl2br w:val="nil"/>
              <w:tr2bl w:val="nil"/>
            </w:tcBorders>
            <w:shd w:val="clear" w:color="auto" w:fill="auto"/>
            <w:vAlign w:val="center"/>
          </w:tcPr>
          <w:p w14:paraId="4BB814C6"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Результат застосування</w:t>
            </w:r>
          </w:p>
        </w:tc>
      </w:tr>
      <w:tr w:rsidR="00E62C75" w:rsidRPr="002763DC" w14:paraId="43A85CE0" w14:textId="77777777">
        <w:tc>
          <w:tcPr>
            <w:tcW w:w="0" w:type="auto"/>
            <w:tcBorders>
              <w:tl2br w:val="nil"/>
              <w:tr2bl w:val="nil"/>
            </w:tcBorders>
            <w:shd w:val="clear" w:color="auto" w:fill="auto"/>
            <w:vAlign w:val="center"/>
          </w:tcPr>
          <w:p w14:paraId="1166C81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Офіційне повідомлення</w:t>
            </w:r>
          </w:p>
        </w:tc>
        <w:tc>
          <w:tcPr>
            <w:tcW w:w="0" w:type="auto"/>
            <w:tcBorders>
              <w:tl2br w:val="nil"/>
              <w:tr2bl w:val="nil"/>
            </w:tcBorders>
            <w:shd w:val="clear" w:color="auto" w:fill="auto"/>
            <w:vAlign w:val="center"/>
          </w:tcPr>
          <w:p w14:paraId="2F15F0A5"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Інформування потенційно зачепленої держави про планований проєкт</w:t>
            </w:r>
          </w:p>
        </w:tc>
        <w:tc>
          <w:tcPr>
            <w:tcW w:w="0" w:type="auto"/>
            <w:tcBorders>
              <w:tl2br w:val="nil"/>
              <w:tr2bl w:val="nil"/>
            </w:tcBorders>
            <w:shd w:val="clear" w:color="auto" w:fill="auto"/>
            <w:vAlign w:val="center"/>
          </w:tcPr>
          <w:p w14:paraId="77BDB3D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Запуск транскордонної процедури</w:t>
            </w:r>
          </w:p>
        </w:tc>
      </w:tr>
      <w:tr w:rsidR="00E62C75" w:rsidRPr="00E432DD" w14:paraId="33F7BA5E" w14:textId="77777777">
        <w:tc>
          <w:tcPr>
            <w:tcW w:w="0" w:type="auto"/>
            <w:tcBorders>
              <w:tl2br w:val="nil"/>
              <w:tr2bl w:val="nil"/>
            </w:tcBorders>
            <w:shd w:val="clear" w:color="auto" w:fill="auto"/>
            <w:vAlign w:val="center"/>
          </w:tcPr>
          <w:p w14:paraId="2CFFD245"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Передача документації</w:t>
            </w:r>
          </w:p>
        </w:tc>
        <w:tc>
          <w:tcPr>
            <w:tcW w:w="0" w:type="auto"/>
            <w:tcBorders>
              <w:tl2br w:val="nil"/>
              <w:tr2bl w:val="nil"/>
            </w:tcBorders>
            <w:shd w:val="clear" w:color="auto" w:fill="auto"/>
            <w:vAlign w:val="center"/>
          </w:tcPr>
          <w:p w14:paraId="6D32732F"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Надання звіту з ОВД та додаткових матеріалів</w:t>
            </w:r>
          </w:p>
        </w:tc>
        <w:tc>
          <w:tcPr>
            <w:tcW w:w="0" w:type="auto"/>
            <w:tcBorders>
              <w:tl2br w:val="nil"/>
              <w:tr2bl w:val="nil"/>
            </w:tcBorders>
            <w:shd w:val="clear" w:color="auto" w:fill="auto"/>
            <w:vAlign w:val="center"/>
          </w:tcPr>
          <w:p w14:paraId="4379D54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Можливість аналізу впливу іншою державою</w:t>
            </w:r>
          </w:p>
        </w:tc>
      </w:tr>
      <w:tr w:rsidR="00E62C75" w:rsidRPr="00E432DD" w14:paraId="156D105D" w14:textId="77777777">
        <w:tc>
          <w:tcPr>
            <w:tcW w:w="0" w:type="auto"/>
            <w:tcBorders>
              <w:tl2br w:val="nil"/>
              <w:tr2bl w:val="nil"/>
            </w:tcBorders>
            <w:shd w:val="clear" w:color="auto" w:fill="auto"/>
            <w:vAlign w:val="center"/>
          </w:tcPr>
          <w:p w14:paraId="41B57D1E"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Письмові зауваження</w:t>
            </w:r>
          </w:p>
        </w:tc>
        <w:tc>
          <w:tcPr>
            <w:tcW w:w="0" w:type="auto"/>
            <w:tcBorders>
              <w:tl2br w:val="nil"/>
              <w:tr2bl w:val="nil"/>
            </w:tcBorders>
            <w:shd w:val="clear" w:color="auto" w:fill="auto"/>
            <w:vAlign w:val="center"/>
          </w:tcPr>
          <w:p w14:paraId="6A8DC0FC"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Подання коментарів і пропозицій</w:t>
            </w:r>
          </w:p>
        </w:tc>
        <w:tc>
          <w:tcPr>
            <w:tcW w:w="0" w:type="auto"/>
            <w:tcBorders>
              <w:tl2br w:val="nil"/>
              <w:tr2bl w:val="nil"/>
            </w:tcBorders>
            <w:shd w:val="clear" w:color="auto" w:fill="auto"/>
            <w:vAlign w:val="center"/>
          </w:tcPr>
          <w:p w14:paraId="5B3182A0"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Коригування проєкту або умов реалізації</w:t>
            </w:r>
          </w:p>
        </w:tc>
      </w:tr>
      <w:tr w:rsidR="00E62C75" w:rsidRPr="002763DC" w14:paraId="35760229" w14:textId="77777777">
        <w:tc>
          <w:tcPr>
            <w:tcW w:w="0" w:type="auto"/>
            <w:tcBorders>
              <w:tl2br w:val="nil"/>
              <w:tr2bl w:val="nil"/>
            </w:tcBorders>
            <w:shd w:val="clear" w:color="auto" w:fill="auto"/>
            <w:vAlign w:val="center"/>
          </w:tcPr>
          <w:p w14:paraId="14198A44"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Двосторонні консультації</w:t>
            </w:r>
          </w:p>
        </w:tc>
        <w:tc>
          <w:tcPr>
            <w:tcW w:w="0" w:type="auto"/>
            <w:tcBorders>
              <w:tl2br w:val="nil"/>
              <w:tr2bl w:val="nil"/>
            </w:tcBorders>
            <w:shd w:val="clear" w:color="auto" w:fill="auto"/>
            <w:vAlign w:val="center"/>
          </w:tcPr>
          <w:p w14:paraId="32DA1B4F"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Обговорення між уповноваженими органами</w:t>
            </w:r>
          </w:p>
        </w:tc>
        <w:tc>
          <w:tcPr>
            <w:tcW w:w="0" w:type="auto"/>
            <w:tcBorders>
              <w:tl2br w:val="nil"/>
              <w:tr2bl w:val="nil"/>
            </w:tcBorders>
            <w:shd w:val="clear" w:color="auto" w:fill="auto"/>
            <w:vAlign w:val="center"/>
          </w:tcPr>
          <w:p w14:paraId="74567FE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Узгодження позицій держав</w:t>
            </w:r>
          </w:p>
        </w:tc>
      </w:tr>
      <w:tr w:rsidR="00E62C75" w:rsidRPr="002763DC" w14:paraId="3E30FE7F" w14:textId="77777777">
        <w:tc>
          <w:tcPr>
            <w:tcW w:w="0" w:type="auto"/>
            <w:tcBorders>
              <w:tl2br w:val="nil"/>
              <w:tr2bl w:val="nil"/>
            </w:tcBorders>
            <w:shd w:val="clear" w:color="auto" w:fill="auto"/>
            <w:vAlign w:val="center"/>
          </w:tcPr>
          <w:p w14:paraId="0B3DA3C2"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Спільні робочі групи</w:t>
            </w:r>
          </w:p>
        </w:tc>
        <w:tc>
          <w:tcPr>
            <w:tcW w:w="0" w:type="auto"/>
            <w:tcBorders>
              <w:tl2br w:val="nil"/>
              <w:tr2bl w:val="nil"/>
            </w:tcBorders>
            <w:shd w:val="clear" w:color="auto" w:fill="auto"/>
            <w:vAlign w:val="center"/>
          </w:tcPr>
          <w:p w14:paraId="56BFFA2E"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Експертна співпраця</w:t>
            </w:r>
          </w:p>
        </w:tc>
        <w:tc>
          <w:tcPr>
            <w:tcW w:w="0" w:type="auto"/>
            <w:tcBorders>
              <w:tl2br w:val="nil"/>
              <w:tr2bl w:val="nil"/>
            </w:tcBorders>
            <w:shd w:val="clear" w:color="auto" w:fill="auto"/>
            <w:vAlign w:val="center"/>
          </w:tcPr>
          <w:p w14:paraId="1DED931A"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Детальні технічні рішення</w:t>
            </w:r>
          </w:p>
        </w:tc>
      </w:tr>
      <w:tr w:rsidR="00E62C75" w:rsidRPr="002763DC" w14:paraId="32E2F61A" w14:textId="77777777">
        <w:tc>
          <w:tcPr>
            <w:tcW w:w="0" w:type="auto"/>
            <w:tcBorders>
              <w:tl2br w:val="nil"/>
              <w:tr2bl w:val="nil"/>
            </w:tcBorders>
            <w:shd w:val="clear" w:color="auto" w:fill="auto"/>
            <w:vAlign w:val="center"/>
          </w:tcPr>
          <w:p w14:paraId="78A034DC"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Урахування результатів</w:t>
            </w:r>
          </w:p>
        </w:tc>
        <w:tc>
          <w:tcPr>
            <w:tcW w:w="0" w:type="auto"/>
            <w:tcBorders>
              <w:tl2br w:val="nil"/>
              <w:tr2bl w:val="nil"/>
            </w:tcBorders>
            <w:shd w:val="clear" w:color="auto" w:fill="auto"/>
            <w:vAlign w:val="center"/>
          </w:tcPr>
          <w:p w14:paraId="3518DD40"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Включення позиції іншої держави в рішення</w:t>
            </w:r>
          </w:p>
        </w:tc>
        <w:tc>
          <w:tcPr>
            <w:tcW w:w="0" w:type="auto"/>
            <w:tcBorders>
              <w:tl2br w:val="nil"/>
              <w:tr2bl w:val="nil"/>
            </w:tcBorders>
            <w:shd w:val="clear" w:color="auto" w:fill="auto"/>
            <w:vAlign w:val="center"/>
          </w:tcPr>
          <w:p w14:paraId="15ECA782"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Зменшення екологічних ризиків</w:t>
            </w:r>
          </w:p>
        </w:tc>
      </w:tr>
    </w:tbl>
    <w:p w14:paraId="65C53B33" w14:textId="77777777" w:rsidR="00FC0CBD" w:rsidRPr="00FC0CBD" w:rsidRDefault="00FC0CBD" w:rsidP="002763DC">
      <w:pPr>
        <w:pStyle w:val="a8"/>
        <w:spacing w:beforeAutospacing="0" w:afterAutospacing="0" w:line="360" w:lineRule="auto"/>
        <w:jc w:val="both"/>
        <w:rPr>
          <w:sz w:val="28"/>
          <w:szCs w:val="28"/>
          <w:lang w:val="uk-UA"/>
        </w:rPr>
      </w:pPr>
    </w:p>
    <w:p w14:paraId="5006D8F7" w14:textId="1658AD00" w:rsidR="00E62C75" w:rsidRPr="00FC0CBD" w:rsidRDefault="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Окремим і дуже важливим елементом транскордонної ОВД є участь громадськості. У країнах ЄС це не формальність, а реальний інструмент впливу на прийняття рішень. Люди можуть ознайомлюватися з документами, подавати зауваження і брати участь у публічних слуханнях [13].</w:t>
      </w:r>
    </w:p>
    <w:p w14:paraId="31BE4F94" w14:textId="6B736976" w:rsidR="00E62C75" w:rsidRPr="00FC0CBD" w:rsidRDefault="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Основу для цього створює Орхуська конвенція, яка гарантує три базові права:</w:t>
      </w:r>
    </w:p>
    <w:p w14:paraId="6CFF9E0E"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доступ до екологічної інформації; </w:t>
      </w:r>
    </w:p>
    <w:p w14:paraId="255F6F41"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участь у процесі прийняття рішень; </w:t>
      </w:r>
    </w:p>
    <w:p w14:paraId="593BE74E"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доступ до правосуддя у разі порушення екологічних прав. </w:t>
      </w:r>
    </w:p>
    <w:p w14:paraId="6A257B3E" w14:textId="1E99CDD1" w:rsidR="00E62C75" w:rsidRPr="00FC0CBD" w:rsidRDefault="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 xml:space="preserve">У транскордонних випадках важливо, що громадськість залучається не лише з країни, де реалізується проєкт, а й з держави, яка може зазнати впливу. </w:t>
      </w:r>
      <w:r w:rsidRPr="00FC0CBD">
        <w:rPr>
          <w:sz w:val="28"/>
          <w:szCs w:val="28"/>
          <w:lang w:val="uk-UA"/>
        </w:rPr>
        <w:lastRenderedPageBreak/>
        <w:t>Це робить процес більш відкритим і зменшує ризик конфліктів між країнами та місцевими громадами [15].</w:t>
      </w:r>
    </w:p>
    <w:p w14:paraId="3AF5E68B" w14:textId="30837E33" w:rsidR="00E62C75" w:rsidRPr="00FC0CBD" w:rsidRDefault="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Форми участі громадськості можуть бути різними</w:t>
      </w:r>
      <w:r w:rsidR="00FC0CBD">
        <w:rPr>
          <w:sz w:val="28"/>
          <w:szCs w:val="28"/>
          <w:lang w:val="uk-UA"/>
        </w:rPr>
        <w:t xml:space="preserve"> (табл. 2.3)</w:t>
      </w:r>
      <w:r w:rsidRPr="00FC0CBD">
        <w:rPr>
          <w:sz w:val="28"/>
          <w:szCs w:val="28"/>
          <w:lang w:val="uk-UA"/>
        </w:rPr>
        <w:t>:</w:t>
      </w:r>
    </w:p>
    <w:p w14:paraId="069A475A"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письмові консультації; </w:t>
      </w:r>
    </w:p>
    <w:p w14:paraId="67B00DE7"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громадські слухання; </w:t>
      </w:r>
    </w:p>
    <w:p w14:paraId="68123853"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онлайн-платформи для обговорення; </w:t>
      </w:r>
    </w:p>
    <w:p w14:paraId="1E07A717"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подання офіційних коментарів; </w:t>
      </w:r>
    </w:p>
    <w:p w14:paraId="26A1D627" w14:textId="77777777" w:rsidR="00E62C75" w:rsidRPr="00FC0CBD" w:rsidRDefault="00000000">
      <w:pPr>
        <w:pStyle w:val="a8"/>
        <w:spacing w:beforeAutospacing="0" w:afterAutospacing="0" w:line="360" w:lineRule="auto"/>
        <w:ind w:firstLineChars="166" w:firstLine="465"/>
        <w:jc w:val="both"/>
        <w:rPr>
          <w:sz w:val="28"/>
          <w:szCs w:val="28"/>
          <w:lang w:val="uk-UA"/>
        </w:rPr>
      </w:pPr>
      <w:r w:rsidRPr="00FC0CBD">
        <w:rPr>
          <w:sz w:val="28"/>
          <w:szCs w:val="28"/>
          <w:lang w:val="uk-UA"/>
        </w:rPr>
        <w:t xml:space="preserve">− участь екологічних організацій у експертних оцінках. </w:t>
      </w:r>
    </w:p>
    <w:p w14:paraId="29A163DF" w14:textId="5D5AB73F" w:rsidR="00E62C75" w:rsidRPr="002763DC" w:rsidRDefault="00000000">
      <w:pPr>
        <w:pStyle w:val="3"/>
        <w:spacing w:beforeAutospacing="0" w:afterAutospacing="0" w:line="360" w:lineRule="auto"/>
        <w:ind w:firstLineChars="166" w:firstLine="398"/>
        <w:jc w:val="right"/>
        <w:rPr>
          <w:rFonts w:ascii="Times New Roman" w:hAnsi="Times New Roman" w:hint="default"/>
          <w:b w:val="0"/>
          <w:bCs w:val="0"/>
          <w:sz w:val="24"/>
          <w:szCs w:val="24"/>
          <w:lang w:val="uk-UA"/>
        </w:rPr>
      </w:pPr>
      <w:r w:rsidRPr="002763DC">
        <w:rPr>
          <w:rFonts w:ascii="Times New Roman" w:hAnsi="Times New Roman" w:hint="default"/>
          <w:b w:val="0"/>
          <w:bCs w:val="0"/>
          <w:sz w:val="24"/>
          <w:szCs w:val="24"/>
          <w:lang w:val="uk-UA"/>
        </w:rPr>
        <w:t>Таблиця 2.3</w:t>
      </w:r>
      <w:r w:rsidR="002763DC">
        <w:rPr>
          <w:rFonts w:ascii="Times New Roman" w:hAnsi="Times New Roman" w:hint="default"/>
          <w:b w:val="0"/>
          <w:bCs w:val="0"/>
          <w:sz w:val="24"/>
          <w:szCs w:val="24"/>
          <w:lang w:val="uk-UA"/>
        </w:rPr>
        <w:t xml:space="preserve">. </w:t>
      </w:r>
    </w:p>
    <w:p w14:paraId="2F81235A" w14:textId="77777777" w:rsidR="00E62C75" w:rsidRPr="002763DC" w:rsidRDefault="00000000" w:rsidP="002763DC">
      <w:pPr>
        <w:pStyle w:val="a8"/>
        <w:spacing w:beforeAutospacing="0" w:afterAutospacing="0"/>
        <w:ind w:firstLineChars="166" w:firstLine="400"/>
        <w:jc w:val="center"/>
        <w:rPr>
          <w:rStyle w:val="a4"/>
          <w:lang w:val="uk-UA"/>
        </w:rPr>
      </w:pPr>
      <w:r w:rsidRPr="002763DC">
        <w:rPr>
          <w:rStyle w:val="a4"/>
          <w:lang w:val="uk-UA"/>
        </w:rPr>
        <w:t>Форми участі громадськості у транскордонній ОВД</w:t>
      </w:r>
    </w:p>
    <w:p w14:paraId="46E4B44B" w14:textId="77777777" w:rsidR="002763DC" w:rsidRDefault="002763DC" w:rsidP="002763DC">
      <w:pPr>
        <w:pStyle w:val="a8"/>
        <w:spacing w:beforeAutospacing="0" w:afterAutospacing="0"/>
        <w:ind w:firstLineChars="166" w:firstLine="400"/>
        <w:jc w:val="center"/>
        <w:rPr>
          <w:b/>
          <w:bCs/>
          <w:lang w:val="uk-UA"/>
        </w:rPr>
      </w:pPr>
      <w:r w:rsidRPr="002763DC">
        <w:rPr>
          <w:rStyle w:val="a4"/>
          <w:lang w:val="uk-UA"/>
        </w:rPr>
        <w:t>(</w:t>
      </w:r>
      <w:r w:rsidRPr="002763DC">
        <w:rPr>
          <w:b/>
          <w:bCs/>
          <w:lang w:val="uk-UA"/>
        </w:rPr>
        <w:t xml:space="preserve">складено автором на основі Орхуської конвенції (1998 р.), Директиви 2011/92/ЄС </w:t>
      </w:r>
    </w:p>
    <w:p w14:paraId="5871F953" w14:textId="4EE588B9" w:rsidR="002763DC" w:rsidRPr="002763DC" w:rsidRDefault="002763DC" w:rsidP="002763DC">
      <w:pPr>
        <w:pStyle w:val="a8"/>
        <w:spacing w:beforeAutospacing="0" w:afterAutospacing="0"/>
        <w:ind w:firstLineChars="166" w:firstLine="400"/>
        <w:jc w:val="center"/>
        <w:rPr>
          <w:b/>
          <w:bCs/>
          <w:lang w:val="uk-UA"/>
        </w:rPr>
      </w:pPr>
      <w:r w:rsidRPr="002763DC">
        <w:rPr>
          <w:b/>
          <w:bCs/>
          <w:lang w:val="uk-UA"/>
        </w:rPr>
        <w:t>та практики громадських консультацій у країнах ЄС [16; 20]</w:t>
      </w:r>
      <w:r w:rsidRPr="002763DC">
        <w:rPr>
          <w:rStyle w:val="a4"/>
          <w:lang w:val="uk-UA"/>
        </w:rPr>
        <w:t>)</w:t>
      </w:r>
      <w:r>
        <w:rPr>
          <w:rStyle w:val="a4"/>
          <w:lang w:val="uk-UA"/>
        </w:rPr>
        <w:t xml:space="preserve"> </w:t>
      </w:r>
    </w:p>
    <w:tbl>
      <w:tblPr>
        <w:tblW w:w="0" w:type="auto"/>
        <w:tblInd w:w="76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2245"/>
        <w:gridCol w:w="4251"/>
        <w:gridCol w:w="1895"/>
      </w:tblGrid>
      <w:tr w:rsidR="00E62C75" w:rsidRPr="002763DC" w14:paraId="48B7C803" w14:textId="77777777" w:rsidTr="002763DC">
        <w:trPr>
          <w:tblHeader/>
        </w:trPr>
        <w:tc>
          <w:tcPr>
            <w:tcW w:w="0" w:type="auto"/>
            <w:tcBorders>
              <w:tl2br w:val="nil"/>
              <w:tr2bl w:val="nil"/>
            </w:tcBorders>
            <w:shd w:val="clear" w:color="auto" w:fill="auto"/>
            <w:vAlign w:val="center"/>
          </w:tcPr>
          <w:p w14:paraId="0835F629"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Форма участі</w:t>
            </w:r>
          </w:p>
        </w:tc>
        <w:tc>
          <w:tcPr>
            <w:tcW w:w="0" w:type="auto"/>
            <w:tcBorders>
              <w:tl2br w:val="nil"/>
              <w:tr2bl w:val="nil"/>
            </w:tcBorders>
            <w:shd w:val="clear" w:color="auto" w:fill="auto"/>
            <w:vAlign w:val="center"/>
          </w:tcPr>
          <w:p w14:paraId="19313ACB"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Характеристика</w:t>
            </w:r>
          </w:p>
        </w:tc>
        <w:tc>
          <w:tcPr>
            <w:tcW w:w="0" w:type="auto"/>
            <w:tcBorders>
              <w:tl2br w:val="nil"/>
              <w:tr2bl w:val="nil"/>
            </w:tcBorders>
            <w:shd w:val="clear" w:color="auto" w:fill="auto"/>
            <w:vAlign w:val="center"/>
          </w:tcPr>
          <w:p w14:paraId="10A9448E"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Рівень впливу</w:t>
            </w:r>
          </w:p>
        </w:tc>
      </w:tr>
      <w:tr w:rsidR="00E62C75" w:rsidRPr="002763DC" w14:paraId="6EF1D0A2" w14:textId="77777777" w:rsidTr="002763DC">
        <w:tc>
          <w:tcPr>
            <w:tcW w:w="0" w:type="auto"/>
            <w:tcBorders>
              <w:tl2br w:val="nil"/>
              <w:tr2bl w:val="nil"/>
            </w:tcBorders>
            <w:shd w:val="clear" w:color="auto" w:fill="auto"/>
            <w:vAlign w:val="center"/>
          </w:tcPr>
          <w:p w14:paraId="4D80FF6B"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Публічні слухання</w:t>
            </w:r>
          </w:p>
        </w:tc>
        <w:tc>
          <w:tcPr>
            <w:tcW w:w="0" w:type="auto"/>
            <w:tcBorders>
              <w:tl2br w:val="nil"/>
              <w:tr2bl w:val="nil"/>
            </w:tcBorders>
            <w:shd w:val="clear" w:color="auto" w:fill="auto"/>
            <w:vAlign w:val="center"/>
          </w:tcPr>
          <w:p w14:paraId="68D38E0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Відкриті обговорення проєкту</w:t>
            </w:r>
          </w:p>
        </w:tc>
        <w:tc>
          <w:tcPr>
            <w:tcW w:w="0" w:type="auto"/>
            <w:tcBorders>
              <w:tl2br w:val="nil"/>
              <w:tr2bl w:val="nil"/>
            </w:tcBorders>
            <w:shd w:val="clear" w:color="auto" w:fill="auto"/>
            <w:vAlign w:val="center"/>
          </w:tcPr>
          <w:p w14:paraId="16FC7A70" w14:textId="7621A849"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Середній</w:t>
            </w:r>
            <w:r w:rsidR="00FC0CBD" w:rsidRPr="002763DC">
              <w:rPr>
                <w:rFonts w:ascii="Times New Roman" w:eastAsia="SimSun" w:hAnsi="Times New Roman" w:cs="Times New Roman"/>
                <w:sz w:val="24"/>
                <w:szCs w:val="24"/>
                <w:lang w:val="uk-UA" w:bidi="ar"/>
              </w:rPr>
              <w:t>-</w:t>
            </w:r>
            <w:r w:rsidRPr="002763DC">
              <w:rPr>
                <w:rFonts w:ascii="Times New Roman" w:eastAsia="SimSun" w:hAnsi="Times New Roman" w:cs="Times New Roman"/>
                <w:sz w:val="24"/>
                <w:szCs w:val="24"/>
                <w:lang w:val="uk-UA" w:bidi="ar"/>
              </w:rPr>
              <w:t>високий</w:t>
            </w:r>
          </w:p>
        </w:tc>
      </w:tr>
      <w:tr w:rsidR="00E62C75" w:rsidRPr="002763DC" w14:paraId="10F2B20F" w14:textId="77777777" w:rsidTr="002763DC">
        <w:tc>
          <w:tcPr>
            <w:tcW w:w="0" w:type="auto"/>
            <w:tcBorders>
              <w:tl2br w:val="nil"/>
              <w:tr2bl w:val="nil"/>
            </w:tcBorders>
            <w:shd w:val="clear" w:color="auto" w:fill="auto"/>
            <w:vAlign w:val="center"/>
          </w:tcPr>
          <w:p w14:paraId="4DDDCEA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Письмові зауваження</w:t>
            </w:r>
          </w:p>
        </w:tc>
        <w:tc>
          <w:tcPr>
            <w:tcW w:w="0" w:type="auto"/>
            <w:tcBorders>
              <w:tl2br w:val="nil"/>
              <w:tr2bl w:val="nil"/>
            </w:tcBorders>
            <w:shd w:val="clear" w:color="auto" w:fill="auto"/>
            <w:vAlign w:val="center"/>
          </w:tcPr>
          <w:p w14:paraId="514E145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Подання офіційних коментарів</w:t>
            </w:r>
          </w:p>
        </w:tc>
        <w:tc>
          <w:tcPr>
            <w:tcW w:w="0" w:type="auto"/>
            <w:tcBorders>
              <w:tl2br w:val="nil"/>
              <w:tr2bl w:val="nil"/>
            </w:tcBorders>
            <w:shd w:val="clear" w:color="auto" w:fill="auto"/>
            <w:vAlign w:val="center"/>
          </w:tcPr>
          <w:p w14:paraId="3B6E48FC"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Середній</w:t>
            </w:r>
          </w:p>
        </w:tc>
      </w:tr>
      <w:tr w:rsidR="00E62C75" w:rsidRPr="002763DC" w14:paraId="1BB93C79" w14:textId="77777777" w:rsidTr="002763DC">
        <w:tc>
          <w:tcPr>
            <w:tcW w:w="0" w:type="auto"/>
            <w:tcBorders>
              <w:tl2br w:val="nil"/>
              <w:tr2bl w:val="nil"/>
            </w:tcBorders>
            <w:shd w:val="clear" w:color="auto" w:fill="auto"/>
            <w:vAlign w:val="center"/>
          </w:tcPr>
          <w:p w14:paraId="49A59A0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Онлайн-консультації</w:t>
            </w:r>
          </w:p>
        </w:tc>
        <w:tc>
          <w:tcPr>
            <w:tcW w:w="0" w:type="auto"/>
            <w:tcBorders>
              <w:tl2br w:val="nil"/>
              <w:tr2bl w:val="nil"/>
            </w:tcBorders>
            <w:shd w:val="clear" w:color="auto" w:fill="auto"/>
            <w:vAlign w:val="center"/>
          </w:tcPr>
          <w:p w14:paraId="7111E6CF"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Електронні платформи обговорення</w:t>
            </w:r>
          </w:p>
        </w:tc>
        <w:tc>
          <w:tcPr>
            <w:tcW w:w="0" w:type="auto"/>
            <w:tcBorders>
              <w:tl2br w:val="nil"/>
              <w:tr2bl w:val="nil"/>
            </w:tcBorders>
            <w:shd w:val="clear" w:color="auto" w:fill="auto"/>
            <w:vAlign w:val="center"/>
          </w:tcPr>
          <w:p w14:paraId="56D09A3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Середній</w:t>
            </w:r>
          </w:p>
        </w:tc>
      </w:tr>
      <w:tr w:rsidR="00E62C75" w:rsidRPr="002763DC" w14:paraId="09518696" w14:textId="77777777" w:rsidTr="002763DC">
        <w:tc>
          <w:tcPr>
            <w:tcW w:w="0" w:type="auto"/>
            <w:tcBorders>
              <w:tl2br w:val="nil"/>
              <w:tr2bl w:val="nil"/>
            </w:tcBorders>
            <w:shd w:val="clear" w:color="auto" w:fill="auto"/>
            <w:vAlign w:val="center"/>
          </w:tcPr>
          <w:p w14:paraId="2C51B78A"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Участь НУО</w:t>
            </w:r>
          </w:p>
        </w:tc>
        <w:tc>
          <w:tcPr>
            <w:tcW w:w="0" w:type="auto"/>
            <w:tcBorders>
              <w:tl2br w:val="nil"/>
              <w:tr2bl w:val="nil"/>
            </w:tcBorders>
            <w:shd w:val="clear" w:color="auto" w:fill="auto"/>
            <w:vAlign w:val="center"/>
          </w:tcPr>
          <w:p w14:paraId="55FAEAD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Екологічні організації аналізують проєкт</w:t>
            </w:r>
          </w:p>
        </w:tc>
        <w:tc>
          <w:tcPr>
            <w:tcW w:w="0" w:type="auto"/>
            <w:tcBorders>
              <w:tl2br w:val="nil"/>
              <w:tr2bl w:val="nil"/>
            </w:tcBorders>
            <w:shd w:val="clear" w:color="auto" w:fill="auto"/>
            <w:vAlign w:val="center"/>
          </w:tcPr>
          <w:p w14:paraId="161045C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Високий</w:t>
            </w:r>
          </w:p>
        </w:tc>
      </w:tr>
      <w:tr w:rsidR="00E62C75" w:rsidRPr="002763DC" w14:paraId="2B03F0D4" w14:textId="77777777" w:rsidTr="002763DC">
        <w:tc>
          <w:tcPr>
            <w:tcW w:w="0" w:type="auto"/>
            <w:tcBorders>
              <w:tl2br w:val="nil"/>
              <w:tr2bl w:val="nil"/>
            </w:tcBorders>
            <w:shd w:val="clear" w:color="auto" w:fill="auto"/>
            <w:vAlign w:val="center"/>
          </w:tcPr>
          <w:p w14:paraId="17A4F12D"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Експертні зустрічі</w:t>
            </w:r>
          </w:p>
        </w:tc>
        <w:tc>
          <w:tcPr>
            <w:tcW w:w="0" w:type="auto"/>
            <w:tcBorders>
              <w:tl2br w:val="nil"/>
              <w:tr2bl w:val="nil"/>
            </w:tcBorders>
            <w:shd w:val="clear" w:color="auto" w:fill="auto"/>
            <w:vAlign w:val="center"/>
          </w:tcPr>
          <w:p w14:paraId="2DC5062B"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Залучення фахівців до оцінки</w:t>
            </w:r>
          </w:p>
        </w:tc>
        <w:tc>
          <w:tcPr>
            <w:tcW w:w="0" w:type="auto"/>
            <w:tcBorders>
              <w:tl2br w:val="nil"/>
              <w:tr2bl w:val="nil"/>
            </w:tcBorders>
            <w:shd w:val="clear" w:color="auto" w:fill="auto"/>
            <w:vAlign w:val="center"/>
          </w:tcPr>
          <w:p w14:paraId="7A8A69A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Високий</w:t>
            </w:r>
          </w:p>
        </w:tc>
      </w:tr>
    </w:tbl>
    <w:p w14:paraId="56248FFE" w14:textId="01163038" w:rsidR="00E62C75" w:rsidRPr="00FC0CBD" w:rsidRDefault="00E62C75" w:rsidP="002763DC">
      <w:pPr>
        <w:pStyle w:val="a8"/>
        <w:spacing w:beforeAutospacing="0" w:afterAutospacing="0" w:line="360" w:lineRule="auto"/>
        <w:jc w:val="both"/>
        <w:rPr>
          <w:sz w:val="28"/>
          <w:szCs w:val="28"/>
          <w:lang w:val="uk-UA"/>
        </w:rPr>
      </w:pPr>
    </w:p>
    <w:p w14:paraId="53B4D911" w14:textId="0C9B18E4" w:rsidR="00E62C75" w:rsidRPr="00FC0CBD" w:rsidRDefault="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Якщо подивитися в цілому, то і міждержавна взаємодія, і участь громадськості працюють в одному напрямку − зробити процес прийняття рішень більш прозорим і обґрунтованим. Держави отримують можливість врахувати екологічні ризики сусідів, а громадськість − впливати на проєкти, які можуть зачіпати їхнє життя і довкілля.</w:t>
      </w:r>
    </w:p>
    <w:p w14:paraId="5CDD3B8C" w14:textId="33C7C605" w:rsidR="00E62C75" w:rsidRPr="00FC0CBD" w:rsidRDefault="002763DC" w:rsidP="002763DC">
      <w:pPr>
        <w:pStyle w:val="a8"/>
        <w:spacing w:beforeAutospacing="0" w:afterAutospacing="0" w:line="360" w:lineRule="auto"/>
        <w:ind w:firstLineChars="166" w:firstLine="465"/>
        <w:jc w:val="both"/>
        <w:rPr>
          <w:sz w:val="28"/>
          <w:szCs w:val="28"/>
          <w:lang w:val="uk-UA"/>
        </w:rPr>
      </w:pPr>
      <w:r>
        <w:rPr>
          <w:sz w:val="28"/>
          <w:szCs w:val="28"/>
          <w:lang w:val="uk-UA"/>
        </w:rPr>
        <w:t xml:space="preserve">   </w:t>
      </w:r>
      <w:r w:rsidRPr="00FC0CBD">
        <w:rPr>
          <w:sz w:val="28"/>
          <w:szCs w:val="28"/>
          <w:lang w:val="uk-UA"/>
        </w:rPr>
        <w:t>У практиці ЄС це часто дозволяє або змінити масштаб проєкту, або додати додаткові природоохоронні заходи, або навіть повністю переглянути початкові рішення.</w:t>
      </w:r>
    </w:p>
    <w:p w14:paraId="2E424A38" w14:textId="77777777" w:rsidR="00E62C75" w:rsidRPr="00FC0CBD" w:rsidRDefault="00000000" w:rsidP="002763D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2.4. Аналіз транскордонних проєктів з оцінки впливу на довкілля</w:t>
      </w:r>
    </w:p>
    <w:p w14:paraId="40261073"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Практика транскордонної оцінки впливу на довкілля в Європейському Союзі добре показує, як ця процедура працює не “на папері”, а в реальних проєктах. У більшості випадків вона запускається ще до початку будівництва, коли тільки формується концепція проєкту. Це дозволяє країнам не просто фіксувати можливі ризики, а реально впливати на технічні рішення: змінювати </w:t>
      </w:r>
      <w:r w:rsidRPr="00FC0CBD">
        <w:rPr>
          <w:sz w:val="28"/>
          <w:szCs w:val="28"/>
          <w:lang w:val="uk-UA"/>
        </w:rPr>
        <w:lastRenderedPageBreak/>
        <w:t>розташування об’єктів, зменшувати їх потужність або додавати додаткові екологічні заходи.</w:t>
      </w:r>
    </w:p>
    <w:p w14:paraId="0F51D7E8" w14:textId="48748141"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Найчастіше транскордонна ОВД застосовується у великих інфраструктурних і енергетичних проєктах, де вплив не обмежується однією територією</w:t>
      </w:r>
      <w:r w:rsidR="00FC0CBD">
        <w:rPr>
          <w:sz w:val="28"/>
          <w:szCs w:val="28"/>
          <w:lang w:val="uk-UA"/>
        </w:rPr>
        <w:t xml:space="preserve"> (табл. 2.4).</w:t>
      </w:r>
      <w:r w:rsidRPr="00FC0CBD">
        <w:rPr>
          <w:sz w:val="28"/>
          <w:szCs w:val="28"/>
          <w:lang w:val="uk-UA"/>
        </w:rPr>
        <w:t>. У ЄС вже сформувалась практика, коли сусідні держави фактично беруть участь у погодженні проєктів, якщо бачать потенційний ризик для свого довкілля [9].</w:t>
      </w:r>
    </w:p>
    <w:p w14:paraId="51D4A7BC" w14:textId="77777777" w:rsidR="00E62C75" w:rsidRPr="002763DC" w:rsidRDefault="00000000">
      <w:pPr>
        <w:pStyle w:val="3"/>
        <w:spacing w:beforeAutospacing="0" w:afterAutospacing="0" w:line="360" w:lineRule="auto"/>
        <w:ind w:firstLineChars="166" w:firstLine="398"/>
        <w:jc w:val="right"/>
        <w:rPr>
          <w:rFonts w:ascii="Times New Roman" w:hAnsi="Times New Roman" w:hint="default"/>
          <w:b w:val="0"/>
          <w:bCs w:val="0"/>
          <w:sz w:val="24"/>
          <w:szCs w:val="24"/>
          <w:lang w:val="uk-UA"/>
        </w:rPr>
      </w:pPr>
      <w:r w:rsidRPr="002763DC">
        <w:rPr>
          <w:rFonts w:ascii="Times New Roman" w:hAnsi="Times New Roman" w:hint="default"/>
          <w:b w:val="0"/>
          <w:bCs w:val="0"/>
          <w:sz w:val="24"/>
          <w:szCs w:val="24"/>
          <w:lang w:val="uk-UA"/>
        </w:rPr>
        <w:t>Таблиця 2.4</w:t>
      </w:r>
    </w:p>
    <w:p w14:paraId="6633C9EF" w14:textId="77777777" w:rsidR="00E62C75" w:rsidRDefault="00000000" w:rsidP="002763DC">
      <w:pPr>
        <w:pStyle w:val="a8"/>
        <w:spacing w:beforeAutospacing="0" w:afterAutospacing="0"/>
        <w:ind w:firstLineChars="166" w:firstLine="400"/>
        <w:jc w:val="center"/>
        <w:rPr>
          <w:rStyle w:val="a4"/>
          <w:lang w:val="uk-UA"/>
        </w:rPr>
      </w:pPr>
      <w:r w:rsidRPr="002763DC">
        <w:rPr>
          <w:rStyle w:val="a4"/>
          <w:lang w:val="uk-UA"/>
        </w:rPr>
        <w:t>Реальні приклади транскордонних проєктів та вплив процедури ОВД в ЄС</w:t>
      </w:r>
    </w:p>
    <w:p w14:paraId="7E3CCC43" w14:textId="3E2DFC8A" w:rsidR="002763DC" w:rsidRPr="002763DC" w:rsidRDefault="002763DC" w:rsidP="002763DC">
      <w:pPr>
        <w:pStyle w:val="a8"/>
        <w:spacing w:beforeAutospacing="0" w:afterAutospacing="0"/>
        <w:ind w:firstLineChars="166" w:firstLine="400"/>
        <w:jc w:val="both"/>
        <w:rPr>
          <w:b/>
          <w:bCs/>
          <w:lang w:val="uk-UA"/>
        </w:rPr>
      </w:pPr>
      <w:r w:rsidRPr="002763DC">
        <w:rPr>
          <w:rStyle w:val="a4"/>
          <w:lang w:val="uk-UA"/>
        </w:rPr>
        <w:t>(</w:t>
      </w:r>
      <w:r w:rsidRPr="002763DC">
        <w:rPr>
          <w:b/>
          <w:bCs/>
          <w:lang w:val="uk-UA"/>
        </w:rPr>
        <w:t>складено автором на основі звітів Європейської комісії, практики застосування Конвенції Еспо (UNECE) та матеріалів щодо реалізації Директиви 2011/92/ЄС [16; 20; 21]</w:t>
      </w:r>
      <w:r>
        <w:rPr>
          <w:rStyle w:val="a4"/>
          <w:lang w:val="uk-UA"/>
        </w:rPr>
        <w:t>)</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top w:w="17" w:type="dxa"/>
          <w:left w:w="17" w:type="dxa"/>
          <w:bottom w:w="17" w:type="dxa"/>
          <w:right w:w="17" w:type="dxa"/>
        </w:tblCellMar>
        <w:tblLook w:val="04A0" w:firstRow="1" w:lastRow="0" w:firstColumn="1" w:lastColumn="0" w:noHBand="0" w:noVBand="1"/>
      </w:tblPr>
      <w:tblGrid>
        <w:gridCol w:w="1838"/>
        <w:gridCol w:w="1701"/>
        <w:gridCol w:w="1843"/>
        <w:gridCol w:w="2126"/>
        <w:gridCol w:w="2121"/>
      </w:tblGrid>
      <w:tr w:rsidR="00E62C75" w:rsidRPr="00E432DD" w14:paraId="35CF37DD" w14:textId="77777777" w:rsidTr="00D7354C">
        <w:trPr>
          <w:tblHeader/>
        </w:trPr>
        <w:tc>
          <w:tcPr>
            <w:tcW w:w="1838" w:type="dxa"/>
            <w:tcBorders>
              <w:tl2br w:val="nil"/>
              <w:tr2bl w:val="nil"/>
            </w:tcBorders>
            <w:shd w:val="clear" w:color="auto" w:fill="auto"/>
            <w:vAlign w:val="center"/>
          </w:tcPr>
          <w:p w14:paraId="6BD6D294"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Проєкт</w:t>
            </w:r>
          </w:p>
        </w:tc>
        <w:tc>
          <w:tcPr>
            <w:tcW w:w="1701" w:type="dxa"/>
            <w:tcBorders>
              <w:tl2br w:val="nil"/>
              <w:tr2bl w:val="nil"/>
            </w:tcBorders>
            <w:shd w:val="clear" w:color="auto" w:fill="auto"/>
            <w:vAlign w:val="center"/>
          </w:tcPr>
          <w:p w14:paraId="2B59622A"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Країни</w:t>
            </w:r>
          </w:p>
        </w:tc>
        <w:tc>
          <w:tcPr>
            <w:tcW w:w="1843" w:type="dxa"/>
            <w:tcBorders>
              <w:tl2br w:val="nil"/>
              <w:tr2bl w:val="nil"/>
            </w:tcBorders>
            <w:shd w:val="clear" w:color="auto" w:fill="auto"/>
            <w:vAlign w:val="center"/>
          </w:tcPr>
          <w:p w14:paraId="1F17BC67"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Галузь</w:t>
            </w:r>
          </w:p>
        </w:tc>
        <w:tc>
          <w:tcPr>
            <w:tcW w:w="2126" w:type="dxa"/>
            <w:tcBorders>
              <w:tl2br w:val="nil"/>
              <w:tr2bl w:val="nil"/>
            </w:tcBorders>
            <w:shd w:val="clear" w:color="auto" w:fill="auto"/>
            <w:vAlign w:val="center"/>
          </w:tcPr>
          <w:p w14:paraId="6CA37868"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Основні транскордонні екологічні ризики</w:t>
            </w:r>
          </w:p>
        </w:tc>
        <w:tc>
          <w:tcPr>
            <w:tcW w:w="2121" w:type="dxa"/>
            <w:tcBorders>
              <w:tl2br w:val="nil"/>
              <w:tr2bl w:val="nil"/>
            </w:tcBorders>
            <w:shd w:val="clear" w:color="auto" w:fill="auto"/>
            <w:vAlign w:val="center"/>
          </w:tcPr>
          <w:p w14:paraId="564F2870" w14:textId="77777777" w:rsidR="00E62C75" w:rsidRPr="002763DC" w:rsidRDefault="00000000">
            <w:pPr>
              <w:jc w:val="center"/>
              <w:rPr>
                <w:rFonts w:ascii="Times New Roman" w:hAnsi="Times New Roman" w:cs="Times New Roman"/>
                <w:b/>
                <w:bCs/>
                <w:sz w:val="24"/>
                <w:szCs w:val="24"/>
                <w:lang w:val="uk-UA"/>
              </w:rPr>
            </w:pPr>
            <w:r w:rsidRPr="002763DC">
              <w:rPr>
                <w:rFonts w:ascii="Times New Roman" w:eastAsia="SimSun" w:hAnsi="Times New Roman" w:cs="Times New Roman"/>
                <w:b/>
                <w:bCs/>
                <w:sz w:val="24"/>
                <w:szCs w:val="24"/>
                <w:lang w:val="uk-UA" w:bidi="ar"/>
              </w:rPr>
              <w:t>Результати ОВД і зміни в проєкті</w:t>
            </w:r>
          </w:p>
        </w:tc>
      </w:tr>
      <w:tr w:rsidR="00E62C75" w:rsidRPr="00E432DD" w14:paraId="002C7AED" w14:textId="77777777" w:rsidTr="00D7354C">
        <w:tc>
          <w:tcPr>
            <w:tcW w:w="1838" w:type="dxa"/>
            <w:tcBorders>
              <w:tl2br w:val="nil"/>
              <w:tr2bl w:val="nil"/>
            </w:tcBorders>
            <w:shd w:val="clear" w:color="auto" w:fill="auto"/>
            <w:vAlign w:val="center"/>
          </w:tcPr>
          <w:p w14:paraId="699EF7B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АЕС у прикордонних регіонах Західної Європи (Франція, Бельгія, Німеччина)</w:t>
            </w:r>
          </w:p>
        </w:tc>
        <w:tc>
          <w:tcPr>
            <w:tcW w:w="1701" w:type="dxa"/>
            <w:tcBorders>
              <w:tl2br w:val="nil"/>
              <w:tr2bl w:val="nil"/>
            </w:tcBorders>
            <w:shd w:val="clear" w:color="auto" w:fill="auto"/>
            <w:vAlign w:val="center"/>
          </w:tcPr>
          <w:p w14:paraId="12913C6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Франція – Бельгія – Німеччина</w:t>
            </w:r>
          </w:p>
        </w:tc>
        <w:tc>
          <w:tcPr>
            <w:tcW w:w="1843" w:type="dxa"/>
            <w:tcBorders>
              <w:tl2br w:val="nil"/>
              <w:tr2bl w:val="nil"/>
            </w:tcBorders>
            <w:shd w:val="clear" w:color="auto" w:fill="auto"/>
            <w:vAlign w:val="center"/>
          </w:tcPr>
          <w:p w14:paraId="68C74C54"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Енергетика</w:t>
            </w:r>
          </w:p>
        </w:tc>
        <w:tc>
          <w:tcPr>
            <w:tcW w:w="2126" w:type="dxa"/>
            <w:tcBorders>
              <w:tl2br w:val="nil"/>
              <w:tr2bl w:val="nil"/>
            </w:tcBorders>
            <w:shd w:val="clear" w:color="auto" w:fill="auto"/>
            <w:vAlign w:val="center"/>
          </w:tcPr>
          <w:p w14:paraId="40C8179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Ризики радіаційної безпеки, аварійні сценарії, охолоджувальні системи</w:t>
            </w:r>
          </w:p>
        </w:tc>
        <w:tc>
          <w:tcPr>
            <w:tcW w:w="2121" w:type="dxa"/>
            <w:tcBorders>
              <w:tl2br w:val="nil"/>
              <w:tr2bl w:val="nil"/>
            </w:tcBorders>
            <w:shd w:val="clear" w:color="auto" w:fill="auto"/>
            <w:vAlign w:val="center"/>
          </w:tcPr>
          <w:p w14:paraId="573DFD55"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Посилення систем безпеки, розширення зон моніторингу, додаткові міжнародні консультації та перевірки</w:t>
            </w:r>
          </w:p>
        </w:tc>
      </w:tr>
      <w:tr w:rsidR="00E62C75" w:rsidRPr="00E432DD" w14:paraId="06951E44" w14:textId="77777777" w:rsidTr="00D7354C">
        <w:tc>
          <w:tcPr>
            <w:tcW w:w="1838" w:type="dxa"/>
            <w:tcBorders>
              <w:tl2br w:val="nil"/>
              <w:tr2bl w:val="nil"/>
            </w:tcBorders>
            <w:shd w:val="clear" w:color="auto" w:fill="auto"/>
            <w:vAlign w:val="center"/>
          </w:tcPr>
          <w:p w14:paraId="45748FCB"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Розвиток гідроенергетики на Дунаї</w:t>
            </w:r>
          </w:p>
        </w:tc>
        <w:tc>
          <w:tcPr>
            <w:tcW w:w="1701" w:type="dxa"/>
            <w:tcBorders>
              <w:tl2br w:val="nil"/>
              <w:tr2bl w:val="nil"/>
            </w:tcBorders>
            <w:shd w:val="clear" w:color="auto" w:fill="auto"/>
            <w:vAlign w:val="center"/>
          </w:tcPr>
          <w:p w14:paraId="23BD335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Австрія – Словаччина – Угорщина – Румунія</w:t>
            </w:r>
          </w:p>
        </w:tc>
        <w:tc>
          <w:tcPr>
            <w:tcW w:w="1843" w:type="dxa"/>
            <w:tcBorders>
              <w:tl2br w:val="nil"/>
              <w:tr2bl w:val="nil"/>
            </w:tcBorders>
            <w:shd w:val="clear" w:color="auto" w:fill="auto"/>
            <w:vAlign w:val="center"/>
          </w:tcPr>
          <w:p w14:paraId="2C677B9B"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Водні ресурси</w:t>
            </w:r>
          </w:p>
        </w:tc>
        <w:tc>
          <w:tcPr>
            <w:tcW w:w="2126" w:type="dxa"/>
            <w:tcBorders>
              <w:tl2br w:val="nil"/>
              <w:tr2bl w:val="nil"/>
            </w:tcBorders>
            <w:shd w:val="clear" w:color="auto" w:fill="auto"/>
            <w:vAlign w:val="center"/>
          </w:tcPr>
          <w:p w14:paraId="18FDAB7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Зміна течії річки, вплив на міграцію риби, ризик затоплень нижче за течією</w:t>
            </w:r>
          </w:p>
        </w:tc>
        <w:tc>
          <w:tcPr>
            <w:tcW w:w="2121" w:type="dxa"/>
            <w:tcBorders>
              <w:tl2br w:val="nil"/>
              <w:tr2bl w:val="nil"/>
            </w:tcBorders>
            <w:shd w:val="clear" w:color="auto" w:fill="auto"/>
            <w:vAlign w:val="center"/>
          </w:tcPr>
          <w:p w14:paraId="56A8035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Коригування проєктів дамб, введення рибопропускних систем, обмеження потужності окремих ГЕС</w:t>
            </w:r>
          </w:p>
        </w:tc>
      </w:tr>
      <w:tr w:rsidR="00E62C75" w:rsidRPr="00E432DD" w14:paraId="7E61BAFD" w14:textId="77777777" w:rsidTr="00D7354C">
        <w:tc>
          <w:tcPr>
            <w:tcW w:w="1838" w:type="dxa"/>
            <w:tcBorders>
              <w:tl2br w:val="nil"/>
              <w:tr2bl w:val="nil"/>
            </w:tcBorders>
            <w:shd w:val="clear" w:color="auto" w:fill="auto"/>
            <w:vAlign w:val="center"/>
          </w:tcPr>
          <w:p w14:paraId="21B6BB45"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Канал Рейн–Майн–Дунай</w:t>
            </w:r>
          </w:p>
        </w:tc>
        <w:tc>
          <w:tcPr>
            <w:tcW w:w="1701" w:type="dxa"/>
            <w:tcBorders>
              <w:tl2br w:val="nil"/>
              <w:tr2bl w:val="nil"/>
            </w:tcBorders>
            <w:shd w:val="clear" w:color="auto" w:fill="auto"/>
            <w:vAlign w:val="center"/>
          </w:tcPr>
          <w:p w14:paraId="7A3B121E"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Німеччина – Австрія</w:t>
            </w:r>
          </w:p>
        </w:tc>
        <w:tc>
          <w:tcPr>
            <w:tcW w:w="1843" w:type="dxa"/>
            <w:tcBorders>
              <w:tl2br w:val="nil"/>
              <w:tr2bl w:val="nil"/>
            </w:tcBorders>
            <w:shd w:val="clear" w:color="auto" w:fill="auto"/>
            <w:vAlign w:val="center"/>
          </w:tcPr>
          <w:p w14:paraId="4732F0C0"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Транспорт/водна інфраструктура</w:t>
            </w:r>
          </w:p>
        </w:tc>
        <w:tc>
          <w:tcPr>
            <w:tcW w:w="2126" w:type="dxa"/>
            <w:tcBorders>
              <w:tl2br w:val="nil"/>
              <w:tr2bl w:val="nil"/>
            </w:tcBorders>
            <w:shd w:val="clear" w:color="auto" w:fill="auto"/>
            <w:vAlign w:val="center"/>
          </w:tcPr>
          <w:p w14:paraId="084AC64D"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Зміна гідрологічного режиму, вплив на водні екосистеми</w:t>
            </w:r>
          </w:p>
        </w:tc>
        <w:tc>
          <w:tcPr>
            <w:tcW w:w="2121" w:type="dxa"/>
            <w:tcBorders>
              <w:tl2br w:val="nil"/>
              <w:tr2bl w:val="nil"/>
            </w:tcBorders>
            <w:shd w:val="clear" w:color="auto" w:fill="auto"/>
            <w:vAlign w:val="center"/>
          </w:tcPr>
          <w:p w14:paraId="37A6359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Додаткові природоохоронні заходи, компенсаційні екосистемні програми</w:t>
            </w:r>
          </w:p>
        </w:tc>
      </w:tr>
      <w:tr w:rsidR="00E62C75" w:rsidRPr="00E432DD" w14:paraId="6BBE6B75" w14:textId="77777777" w:rsidTr="00D7354C">
        <w:tc>
          <w:tcPr>
            <w:tcW w:w="1838" w:type="dxa"/>
            <w:tcBorders>
              <w:tl2br w:val="nil"/>
              <w:tr2bl w:val="nil"/>
            </w:tcBorders>
            <w:shd w:val="clear" w:color="auto" w:fill="auto"/>
            <w:vAlign w:val="center"/>
          </w:tcPr>
          <w:p w14:paraId="064F686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Транс’європейська транспортна мережа (TEN-T коридори)</w:t>
            </w:r>
          </w:p>
        </w:tc>
        <w:tc>
          <w:tcPr>
            <w:tcW w:w="1701" w:type="dxa"/>
            <w:tcBorders>
              <w:tl2br w:val="nil"/>
              <w:tr2bl w:val="nil"/>
            </w:tcBorders>
            <w:shd w:val="clear" w:color="auto" w:fill="auto"/>
            <w:vAlign w:val="center"/>
          </w:tcPr>
          <w:p w14:paraId="2F65383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Польща – Чехія – Німеччина – Австрія</w:t>
            </w:r>
          </w:p>
        </w:tc>
        <w:tc>
          <w:tcPr>
            <w:tcW w:w="1843" w:type="dxa"/>
            <w:tcBorders>
              <w:tl2br w:val="nil"/>
              <w:tr2bl w:val="nil"/>
            </w:tcBorders>
            <w:shd w:val="clear" w:color="auto" w:fill="auto"/>
            <w:vAlign w:val="center"/>
          </w:tcPr>
          <w:p w14:paraId="592A9F6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Транспорт</w:t>
            </w:r>
          </w:p>
        </w:tc>
        <w:tc>
          <w:tcPr>
            <w:tcW w:w="2126" w:type="dxa"/>
            <w:tcBorders>
              <w:tl2br w:val="nil"/>
              <w:tr2bl w:val="nil"/>
            </w:tcBorders>
            <w:shd w:val="clear" w:color="auto" w:fill="auto"/>
            <w:vAlign w:val="center"/>
          </w:tcPr>
          <w:p w14:paraId="5331EAD7"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Шумове навантаження, забруднення повітря, фрагментація природних територій</w:t>
            </w:r>
          </w:p>
        </w:tc>
        <w:tc>
          <w:tcPr>
            <w:tcW w:w="2121" w:type="dxa"/>
            <w:tcBorders>
              <w:tl2br w:val="nil"/>
              <w:tr2bl w:val="nil"/>
            </w:tcBorders>
            <w:shd w:val="clear" w:color="auto" w:fill="auto"/>
            <w:vAlign w:val="center"/>
          </w:tcPr>
          <w:p w14:paraId="3D0B0B54"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Зміна маршрутів, будівництво екодуків (перехід для тварин), шумозахисні бар’єри</w:t>
            </w:r>
          </w:p>
        </w:tc>
      </w:tr>
      <w:tr w:rsidR="00E62C75" w:rsidRPr="00E432DD" w14:paraId="03EEE52B" w14:textId="77777777" w:rsidTr="00D7354C">
        <w:tc>
          <w:tcPr>
            <w:tcW w:w="1838" w:type="dxa"/>
            <w:tcBorders>
              <w:tl2br w:val="nil"/>
              <w:tr2bl w:val="nil"/>
            </w:tcBorders>
            <w:shd w:val="clear" w:color="auto" w:fill="auto"/>
            <w:vAlign w:val="center"/>
          </w:tcPr>
          <w:p w14:paraId="032D4E76"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Вітрові електростанції у Північному морі</w:t>
            </w:r>
          </w:p>
        </w:tc>
        <w:tc>
          <w:tcPr>
            <w:tcW w:w="1701" w:type="dxa"/>
            <w:tcBorders>
              <w:tl2br w:val="nil"/>
              <w:tr2bl w:val="nil"/>
            </w:tcBorders>
            <w:shd w:val="clear" w:color="auto" w:fill="auto"/>
            <w:vAlign w:val="center"/>
          </w:tcPr>
          <w:p w14:paraId="7C27A828"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 xml:space="preserve">Німеччина – Данія – </w:t>
            </w:r>
            <w:r w:rsidRPr="002763DC">
              <w:rPr>
                <w:rFonts w:ascii="Times New Roman" w:eastAsia="SimSun" w:hAnsi="Times New Roman" w:cs="Times New Roman"/>
                <w:sz w:val="24"/>
                <w:szCs w:val="24"/>
                <w:lang w:val="uk-UA" w:bidi="ar"/>
              </w:rPr>
              <w:lastRenderedPageBreak/>
              <w:t>Нідерланди – Великобританія</w:t>
            </w:r>
          </w:p>
        </w:tc>
        <w:tc>
          <w:tcPr>
            <w:tcW w:w="1843" w:type="dxa"/>
            <w:tcBorders>
              <w:tl2br w:val="nil"/>
              <w:tr2bl w:val="nil"/>
            </w:tcBorders>
            <w:shd w:val="clear" w:color="auto" w:fill="auto"/>
            <w:vAlign w:val="center"/>
          </w:tcPr>
          <w:p w14:paraId="186AF594"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lastRenderedPageBreak/>
              <w:t>Відновлювана енергетика</w:t>
            </w:r>
          </w:p>
        </w:tc>
        <w:tc>
          <w:tcPr>
            <w:tcW w:w="2126" w:type="dxa"/>
            <w:tcBorders>
              <w:tl2br w:val="nil"/>
              <w:tr2bl w:val="nil"/>
            </w:tcBorders>
            <w:shd w:val="clear" w:color="auto" w:fill="auto"/>
            <w:vAlign w:val="center"/>
          </w:tcPr>
          <w:p w14:paraId="5A5C00A9"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 xml:space="preserve">Вплив на морські екосистеми, </w:t>
            </w:r>
            <w:r w:rsidRPr="002763DC">
              <w:rPr>
                <w:rFonts w:ascii="Times New Roman" w:eastAsia="SimSun" w:hAnsi="Times New Roman" w:cs="Times New Roman"/>
                <w:sz w:val="24"/>
                <w:szCs w:val="24"/>
                <w:lang w:val="uk-UA" w:bidi="ar"/>
              </w:rPr>
              <w:lastRenderedPageBreak/>
              <w:t>міграцію птахів, рибні ресурси</w:t>
            </w:r>
          </w:p>
        </w:tc>
        <w:tc>
          <w:tcPr>
            <w:tcW w:w="2121" w:type="dxa"/>
            <w:tcBorders>
              <w:tl2br w:val="nil"/>
              <w:tr2bl w:val="nil"/>
            </w:tcBorders>
            <w:shd w:val="clear" w:color="auto" w:fill="auto"/>
            <w:vAlign w:val="center"/>
          </w:tcPr>
          <w:p w14:paraId="169241B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lastRenderedPageBreak/>
              <w:t xml:space="preserve">Узгодження зон розміщення, обмеження </w:t>
            </w:r>
            <w:r w:rsidRPr="002763DC">
              <w:rPr>
                <w:rFonts w:ascii="Times New Roman" w:eastAsia="SimSun" w:hAnsi="Times New Roman" w:cs="Times New Roman"/>
                <w:sz w:val="24"/>
                <w:szCs w:val="24"/>
                <w:lang w:val="uk-UA" w:bidi="ar"/>
              </w:rPr>
              <w:lastRenderedPageBreak/>
              <w:t>щільності турбін, спільний морський екологічний моніторинг</w:t>
            </w:r>
          </w:p>
        </w:tc>
      </w:tr>
      <w:tr w:rsidR="00E62C75" w:rsidRPr="00E432DD" w14:paraId="18E71F8A" w14:textId="77777777" w:rsidTr="00D7354C">
        <w:tc>
          <w:tcPr>
            <w:tcW w:w="1838" w:type="dxa"/>
            <w:tcBorders>
              <w:tl2br w:val="nil"/>
              <w:tr2bl w:val="nil"/>
            </w:tcBorders>
            <w:shd w:val="clear" w:color="auto" w:fill="auto"/>
            <w:vAlign w:val="center"/>
          </w:tcPr>
          <w:p w14:paraId="7EDA492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lastRenderedPageBreak/>
              <w:t>Промислові комплекси в басейні Рейну</w:t>
            </w:r>
          </w:p>
        </w:tc>
        <w:tc>
          <w:tcPr>
            <w:tcW w:w="1701" w:type="dxa"/>
            <w:tcBorders>
              <w:tl2br w:val="nil"/>
              <w:tr2bl w:val="nil"/>
            </w:tcBorders>
            <w:shd w:val="clear" w:color="auto" w:fill="auto"/>
            <w:vAlign w:val="center"/>
          </w:tcPr>
          <w:p w14:paraId="1734852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Швейцарія – Франція – Німеччина – Нідерланди</w:t>
            </w:r>
          </w:p>
        </w:tc>
        <w:tc>
          <w:tcPr>
            <w:tcW w:w="1843" w:type="dxa"/>
            <w:tcBorders>
              <w:tl2br w:val="nil"/>
              <w:tr2bl w:val="nil"/>
            </w:tcBorders>
            <w:shd w:val="clear" w:color="auto" w:fill="auto"/>
            <w:vAlign w:val="center"/>
          </w:tcPr>
          <w:p w14:paraId="54E40C7E"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Промисловість</w:t>
            </w:r>
          </w:p>
        </w:tc>
        <w:tc>
          <w:tcPr>
            <w:tcW w:w="2126" w:type="dxa"/>
            <w:tcBorders>
              <w:tl2br w:val="nil"/>
              <w:tr2bl w:val="nil"/>
            </w:tcBorders>
            <w:shd w:val="clear" w:color="auto" w:fill="auto"/>
            <w:vAlign w:val="center"/>
          </w:tcPr>
          <w:p w14:paraId="4BC01EE1"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Забруднення води, хімічні викиди, кумулятивний ефект</w:t>
            </w:r>
          </w:p>
        </w:tc>
        <w:tc>
          <w:tcPr>
            <w:tcW w:w="2121" w:type="dxa"/>
            <w:tcBorders>
              <w:tl2br w:val="nil"/>
              <w:tr2bl w:val="nil"/>
            </w:tcBorders>
            <w:shd w:val="clear" w:color="auto" w:fill="auto"/>
            <w:vAlign w:val="center"/>
          </w:tcPr>
          <w:p w14:paraId="246D872A" w14:textId="77777777" w:rsidR="00E62C75" w:rsidRPr="002763DC" w:rsidRDefault="00000000">
            <w:pPr>
              <w:jc w:val="center"/>
              <w:rPr>
                <w:rFonts w:ascii="Times New Roman" w:hAnsi="Times New Roman" w:cs="Times New Roman"/>
                <w:sz w:val="24"/>
                <w:szCs w:val="24"/>
                <w:lang w:val="uk-UA"/>
              </w:rPr>
            </w:pPr>
            <w:r w:rsidRPr="002763DC">
              <w:rPr>
                <w:rFonts w:ascii="Times New Roman" w:eastAsia="SimSun" w:hAnsi="Times New Roman" w:cs="Times New Roman"/>
                <w:sz w:val="24"/>
                <w:szCs w:val="24"/>
                <w:lang w:val="uk-UA" w:bidi="ar"/>
              </w:rPr>
              <w:t>Введення спільного контролю якості води, жорсткі норми викидів, міждержавні екологічні комісії</w:t>
            </w:r>
          </w:p>
        </w:tc>
      </w:tr>
    </w:tbl>
    <w:p w14:paraId="6B6BE746" w14:textId="1783554D" w:rsidR="00FC0CBD" w:rsidRPr="002763DC" w:rsidRDefault="00FC0CBD" w:rsidP="002763DC">
      <w:pPr>
        <w:pStyle w:val="a8"/>
        <w:spacing w:beforeAutospacing="0" w:afterAutospacing="0" w:line="360" w:lineRule="auto"/>
        <w:jc w:val="both"/>
        <w:rPr>
          <w:i/>
          <w:iCs/>
          <w:sz w:val="28"/>
          <w:szCs w:val="28"/>
          <w:lang w:val="uk-UA"/>
        </w:rPr>
      </w:pPr>
    </w:p>
    <w:p w14:paraId="67FE7746"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Якщо подивитися на наведені приклади, видно, що транскордонна ОВД в ЄС має реальний вплив на кінцевий вигляд проєктів. Це не просто оцінка ризиків, а інструмент, який змінює рішення ще до початку будівництва [9].</w:t>
      </w:r>
    </w:p>
    <w:p w14:paraId="2832B590"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випадку енергетичних проєктів (особливо атомних електростанцій) найбільший акцент робиться на безпеці. Сусідні країни зазвичай вимагають:</w:t>
      </w:r>
    </w:p>
    <w:p w14:paraId="3C6C15D4"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додаткових сценаріїв аварій; </w:t>
      </w:r>
    </w:p>
    <w:p w14:paraId="198E288E"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посиленого радіаційного моніторингу; </w:t>
      </w:r>
    </w:p>
    <w:p w14:paraId="7DB68E73"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розширення зон впливу; </w:t>
      </w:r>
    </w:p>
    <w:p w14:paraId="5F83BAD3"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 міжнародного обміну даними в реальному часі. </w:t>
      </w:r>
    </w:p>
    <w:p w14:paraId="5BA323F7"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водних проєктах (наприклад, на Дунаї) головною проблемою є зміна природного балансу річки. Навіть невеликі гідротехнічні споруди можуть впливати на рівень води нижче за течією, тому проєкти часто змінюють або обмежують. Особливо важливим стало впровадження рибопропускних систем, які дозволяють зменшити вплив на міграцію риб.</w:t>
      </w:r>
    </w:p>
    <w:p w14:paraId="1CA7A97A"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Транспортні проєкти у межах TEN-T мережі показують іншу проблему − фрагментацію природних територій. Через це в ЄС активно використовують екодуки (спеціальні переходи для тварин), шумозахисні екрани та коригування трасування доріг. У деяких випадках маршрути навіть переносили, якщо вплив на природу або населення був занадто високим [7].</w:t>
      </w:r>
    </w:p>
    <w:p w14:paraId="671D72A0"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Відновлювана енергетика, зокрема вітрові електростанції у Північному морі, теж потребує узгодження між країнами. Тут проблема не стільки в </w:t>
      </w:r>
      <w:r w:rsidRPr="00FC0CBD">
        <w:rPr>
          <w:sz w:val="28"/>
          <w:szCs w:val="28"/>
          <w:lang w:val="uk-UA"/>
        </w:rPr>
        <w:lastRenderedPageBreak/>
        <w:t>забрудненні, скільки у впливі на птахів, морські екосистеми та рибальство. Тому країни домовляються про спільні зони розміщення турбін і створюють єдині системи моніторингу.</w:t>
      </w:r>
    </w:p>
    <w:p w14:paraId="6FC36500"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Промислові проєкти в басейні Рейну показують, що найбільш ефективним інструментом є спільний екологічний контроль. Тут працює логіка “одна річка − одна система управління”, і країни змушені координувати свої дії, щоб уникнути накопичення забруднення.</w:t>
      </w:r>
    </w:p>
    <w:p w14:paraId="36069B06"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Усі наведені приклади показують одну важливу річ: транскордонна ОВД в ЄС − це не формальна процедура, а механізм реального впливу на інфраструктурні рішення. Вона допомагає зменшувати екологічні ризики ще на стадії планування і змушує держави враховувати інтереси сусідів.</w:t>
      </w:r>
    </w:p>
    <w:p w14:paraId="36760FEB"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Фактично, саме через такі проєкти в ЄС сформувалася практика, де екологічна складова стала рівноправною частиною економічного та технічного планування, а не просто додатковою перевіркою.</w:t>
      </w:r>
    </w:p>
    <w:p w14:paraId="6A4D82EF" w14:textId="77777777" w:rsidR="00E62C75" w:rsidRPr="00FC0CBD" w:rsidRDefault="00E62C75" w:rsidP="002763DC">
      <w:pPr>
        <w:pStyle w:val="a8"/>
        <w:spacing w:beforeAutospacing="0" w:afterAutospacing="0" w:line="360" w:lineRule="auto"/>
        <w:ind w:leftChars="167" w:left="334" w:rightChars="19" w:right="38" w:firstLine="709"/>
        <w:jc w:val="both"/>
        <w:rPr>
          <w:rFonts w:ascii="SimSun" w:hAnsi="SimSun" w:cs="SimSun"/>
          <w:lang w:val="uk-UA"/>
        </w:rPr>
      </w:pPr>
    </w:p>
    <w:p w14:paraId="3AA4FF7D" w14:textId="77777777" w:rsidR="00E62C75" w:rsidRPr="00FC0CBD" w:rsidRDefault="00000000" w:rsidP="002763D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Висновки до розділу 2</w:t>
      </w:r>
    </w:p>
    <w:p w14:paraId="66EA3121"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 другому розділі було розглянуто міжнародний досвід реалізації транскордонної оцінки впливу на довкілля, зокрема особливості її нормативно-правового забезпечення, практики застосування в країнах Європейського Союзу, механізми міждержавної взаємодії та участі громадськості, а також реальні приклади транскордонних проєктів.</w:t>
      </w:r>
    </w:p>
    <w:p w14:paraId="416BAD35"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Аналіз показав, що в країнах ЄС транскордонна ОВД є невід’ємною частиною процесу планування великих інфраструктурних і промислових проєктів. Її застосування ґрунтується на положеннях Директиви 2011/92/ЄС та Конвенції Еспо, що забезпечує єдині підходи до оцінки екологічних ризиків і прийняття рішень у межах різних держав.</w:t>
      </w:r>
    </w:p>
    <w:p w14:paraId="5AE0AB82"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 xml:space="preserve">Встановлено, що практична реалізація транскордонної ОВД в країнах Європейського Союзу має високий рівень структурованості та прозорості. Особливу роль у цьому процесі відіграють механізми обов’язкового інформування, проведення міждержавних консультацій та залучення </w:t>
      </w:r>
      <w:r w:rsidRPr="00FC0CBD">
        <w:rPr>
          <w:sz w:val="28"/>
          <w:szCs w:val="28"/>
          <w:lang w:val="uk-UA"/>
        </w:rPr>
        <w:lastRenderedPageBreak/>
        <w:t>громадськості. Саме ці елементи дозволяють враховувати інтереси не лише держави-ініціатора проєкту, а й сусідніх країн, які можуть зазнати екологічного впливу.</w:t>
      </w:r>
    </w:p>
    <w:p w14:paraId="78209196"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Дослідження показало, що участь громадськості в країнах ЄС має реальний вплив на ухвалення рішень. Зауваження громадян, екологічних організацій та місцевих громад часто призводять до коригування проєктів або введення додаткових природоохоронних заходів, що підвищує загальний рівень екологічної безпеки.</w:t>
      </w:r>
    </w:p>
    <w:p w14:paraId="147E0EE5" w14:textId="77777777" w:rsidR="00E62C75" w:rsidRPr="00FC0CB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Аналіз практичних прикладів засвідчив, що транскордонна ОВД є дієвим інструментом запобігання негативним екологічним наслідкам. У багатьох випадках її застосування призводило до зміни технічних рішень, коригування маршрутів інфраструктурних об’єктів або посилення вимог до безпеки та моніторингу.</w:t>
      </w:r>
    </w:p>
    <w:p w14:paraId="430E3425" w14:textId="77777777" w:rsidR="00E62C75" w:rsidRPr="00E432DD" w:rsidRDefault="00000000" w:rsidP="002763DC">
      <w:pPr>
        <w:pStyle w:val="a8"/>
        <w:spacing w:beforeAutospacing="0" w:afterAutospacing="0" w:line="360" w:lineRule="auto"/>
        <w:ind w:firstLine="709"/>
        <w:jc w:val="both"/>
        <w:rPr>
          <w:sz w:val="28"/>
          <w:szCs w:val="28"/>
          <w:lang w:val="uk-UA"/>
        </w:rPr>
      </w:pPr>
      <w:r w:rsidRPr="00FC0CBD">
        <w:rPr>
          <w:sz w:val="28"/>
          <w:szCs w:val="28"/>
          <w:lang w:val="uk-UA"/>
        </w:rPr>
        <w:t>Узагальнюючи, можна зазначити, що міжнародний досвід Європейського Союзу демонструє ефективність транскордонної ОВД як механізму узгодження інтересів держав і зменшення екологічних ризиків. Вона забезпечує баланс між економічним розвитком і охороною довкілля, а також сприяє формуванню єдиного європейського підходу до екологічної безпеки.</w:t>
      </w:r>
    </w:p>
    <w:p w14:paraId="12F337D3" w14:textId="77777777" w:rsidR="00E62C75" w:rsidRPr="00FC0CBD" w:rsidRDefault="00E62C75" w:rsidP="002763DC">
      <w:pPr>
        <w:pStyle w:val="a8"/>
        <w:spacing w:beforeAutospacing="0" w:afterAutospacing="0" w:line="360" w:lineRule="auto"/>
        <w:ind w:leftChars="167" w:left="334" w:rightChars="19" w:right="38" w:firstLine="709"/>
        <w:jc w:val="both"/>
        <w:rPr>
          <w:rFonts w:ascii="SimSun" w:hAnsi="SimSun" w:cs="SimSun"/>
          <w:lang w:val="uk-UA"/>
        </w:rPr>
      </w:pPr>
    </w:p>
    <w:p w14:paraId="17B15EF7" w14:textId="77777777" w:rsidR="00E62C75" w:rsidRPr="00FC0CBD" w:rsidRDefault="00E62C75" w:rsidP="002763DC">
      <w:pPr>
        <w:pStyle w:val="a8"/>
        <w:spacing w:beforeAutospacing="0" w:afterAutospacing="0" w:line="360" w:lineRule="auto"/>
        <w:ind w:leftChars="167" w:left="334" w:rightChars="19" w:right="38" w:firstLine="709"/>
        <w:jc w:val="both"/>
        <w:rPr>
          <w:rFonts w:ascii="SimSun" w:hAnsi="SimSun" w:cs="SimSun"/>
          <w:lang w:val="uk-UA"/>
        </w:rPr>
      </w:pPr>
    </w:p>
    <w:p w14:paraId="0A94DDE2"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0C10EAC4"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000B1582"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4444C776"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1DA4CC4B"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563E12DD"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07FA6466" w14:textId="77777777" w:rsidR="00FC0CBD" w:rsidRDefault="00FC0CBD">
      <w:pPr>
        <w:rPr>
          <w:rFonts w:ascii="Times New Roman" w:eastAsia="SimSun" w:hAnsi="Times New Roman" w:cs="Times New Roman"/>
          <w:b/>
          <w:bCs/>
          <w:sz w:val="28"/>
          <w:szCs w:val="28"/>
          <w:lang w:val="uk-UA"/>
        </w:rPr>
      </w:pPr>
      <w:r>
        <w:rPr>
          <w:rFonts w:ascii="Times New Roman" w:hAnsi="Times New Roman"/>
          <w:i/>
          <w:iCs/>
          <w:sz w:val="28"/>
          <w:szCs w:val="28"/>
          <w:lang w:val="uk-UA"/>
        </w:rPr>
        <w:br w:type="page"/>
      </w:r>
    </w:p>
    <w:p w14:paraId="26669C47" w14:textId="1F367A31" w:rsidR="00E62C75" w:rsidRPr="00FC0CBD" w:rsidRDefault="00000000">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РОЗДІЛ 3. МОЖЛИВОСТІ ТА ВИКЛИКИ ВПРОВАДЖЕННЯ МІЖНАРОДНОГО ДОСВІДУ ТРАНСКОРДОННОЇ ОВД В УКРАЇНІ</w:t>
      </w:r>
    </w:p>
    <w:p w14:paraId="49860A29" w14:textId="77777777" w:rsidR="00E62C75" w:rsidRPr="00FC0CBD" w:rsidRDefault="00E62C75">
      <w:pPr>
        <w:pStyle w:val="2"/>
        <w:spacing w:beforeAutospacing="0" w:afterAutospacing="0" w:line="360" w:lineRule="auto"/>
        <w:ind w:firstLineChars="214" w:firstLine="602"/>
        <w:jc w:val="both"/>
        <w:rPr>
          <w:rFonts w:ascii="Times New Roman" w:hAnsi="Times New Roman" w:hint="default"/>
          <w:sz w:val="28"/>
          <w:szCs w:val="28"/>
          <w:lang w:val="uk-UA"/>
        </w:rPr>
      </w:pPr>
    </w:p>
    <w:p w14:paraId="3640B3D7" w14:textId="77777777" w:rsidR="00E62C75" w:rsidRPr="00FC0CBD" w:rsidRDefault="00000000" w:rsidP="00D7354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3.1. Нормативно-правове забезпечення оцінки впливу на довкілля в Україні</w:t>
      </w:r>
    </w:p>
    <w:p w14:paraId="6B401CFD"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Система оцінки впливу на довкілля в Україні є відносно новою, якщо порівнювати з європейськими країнами. Вона почала активно формуватися після прийняття Закону України «Про оцінку впливу на довкілля» у 2017 році. До цього в Україні діяла інша система екологічної експертизи, яка була менш прозорою та більше орієнтувалася на формальну перевірку документів, ніж на реальний аналіз екологічних ризиків.</w:t>
      </w:r>
    </w:p>
    <w:p w14:paraId="15A5069B"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Сьогодні ОВД в Україні є обов’язковою процедурою для планованої діяльності, яка може суттєво впливати на довкілля. Йдеться про великі промислові об’єкти, енергетику, будівництво доріг, видобуток корисних копалин, поводження з відходами та інші види діяльності, які потенційно можуть створювати значне екологічне навантаження.</w:t>
      </w:r>
    </w:p>
    <w:p w14:paraId="76FB22F9"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Основою нормативного регулювання виступає Закон України «Про оцінку впливу на довкілля». Він визначає, як саме має проходити процедура, хто бере в ній участь і які обов’язки мають суб’єкти господарювання та органи влади. Закон також закріплює принципи відкритості, участі громадськості та врахування екологічних факторів при прийнятті рішень [2].</w:t>
      </w:r>
    </w:p>
    <w:p w14:paraId="1B79B347"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Важливою частиною української системи є також імплементація міжнародних зобов’язань. Україна є стороною Конвенції Еспо, тому у випадках, коли планована діяльність може мати транскордонний вплив, запускається окрема процедура міжнародного інформування та консультацій із сусідніми державами. Це означає, що українське законодавство вже частково інтегроване в міжнародну систему екологічного регулювання [20].</w:t>
      </w:r>
    </w:p>
    <w:p w14:paraId="26DF7858"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Окрему роль відіграють підзаконні нормативні акти та постанови Кабінету Міністрів України, які деталізують порядок проведення ОВД. Вони регулюють технічні моменти: як подається повідомлення про плановану діяльність, як </w:t>
      </w:r>
      <w:r w:rsidRPr="00FC0CBD">
        <w:rPr>
          <w:sz w:val="28"/>
          <w:szCs w:val="28"/>
          <w:lang w:val="uk-UA"/>
        </w:rPr>
        <w:lastRenderedPageBreak/>
        <w:t>готується звіт, які строки розгляду документів, як проходять громадські обговорення.</w:t>
      </w:r>
    </w:p>
    <w:p w14:paraId="6618A1BB"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Також важливим інструментом є Єдиний реєстр з оцінки впливу на довкілля. Це електронна система, де публікуються всі матеріали щодо ОВД: від повідомлень про плановану діяльність до висновків уповноваженого органу. Завдяки цьому процес став значно більш відкритим порівняно з попередньою системою.</w:t>
      </w:r>
    </w:p>
    <w:p w14:paraId="5A017400"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Разом із тим, якщо порівнювати з країнами Європейського Союзу, в Україні ще відчуваються певні проблеми у практичній реалізації. Часто йдеться про недостатню якість звітів, формальний підхід окремих учасників процесу або обмежену участь громадськості на ранніх етапах. Це впливає на ефективність самої процедури та інколи знижує її реальний екологічний результат [23].</w:t>
      </w:r>
    </w:p>
    <w:p w14:paraId="04CC0184"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Ще одним важливим моментом є транскордонна складова. Формально вона передбачена українським законодавством і відповідає вимогам Конвенції Еспо, але на практиці її застосування значною мірою залежить від конкретних проєктів, рівня підготовки документації та якості комунікації між зацікавленими сторонами. У різних випадках процедура може проходити по-різному: десь вона запускається швидко і без ускладнень, а десь потребує додаткових уточнень, перекладів матеріалів, узгодження позицій або повторних консультацій із сусідніми державами.</w:t>
      </w:r>
    </w:p>
    <w:p w14:paraId="2162CC71"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Окремо впливає і те, наскільки активно залучені уповноважені органи інших країн та чи є між ними налагоджений постійний діалог. Якщо така взаємодія слабка або нерегулярна, процес обміну інформацією ускладнюється, що може призводити до затримок у розгляді матеріалів або необхідності повторного опрацювання окремих етапів оцінки. У складніших інфраструктурних або промислових проєктах це особливо відчутно, оскільки там обсяг даних більший, а екологічні ризики потребують детальнішого аналізу.</w:t>
      </w:r>
    </w:p>
    <w:p w14:paraId="6649DA53"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У цілому нормативно-правова база ОВД в Україні вже побудована на європейських підходах, але все ще потребує подальшого вдосконалення. Йдеться </w:t>
      </w:r>
      <w:r w:rsidRPr="00FC0CBD">
        <w:rPr>
          <w:sz w:val="28"/>
          <w:szCs w:val="28"/>
          <w:lang w:val="uk-UA"/>
        </w:rPr>
        <w:lastRenderedPageBreak/>
        <w:t>не стільки про зміну законів, скільки про якість їх застосування, підготовку фахівців і розвиток культури екологічного планування.</w:t>
      </w:r>
    </w:p>
    <w:p w14:paraId="3A4982BC"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У підсумку можна сказати, що Україна вже має сформовану правову основу для проведення оцінки впливу на довкілля, включаючи транскордонний вимір, однак ефективність цієї системи значною мірою залежить від практичної реалізації та рівня імплементації міжнародних стандартів.</w:t>
      </w:r>
    </w:p>
    <w:p w14:paraId="1754A777" w14:textId="26451580" w:rsidR="00E62C75" w:rsidRPr="00FC0CBD" w:rsidRDefault="00000000" w:rsidP="00D7354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3.2. Проблеми реалізації транскордонної ОВД в Україні</w:t>
      </w:r>
    </w:p>
    <w:p w14:paraId="25A949D0"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Реалізація транскордонної оцінки впливу на довкілля в Україні вже має нормативну основу, але на практиці цей механізм працює не завжди так ефективно, як у країнах Європейського Союзу. Причини цього пов’язані не лише із законодавством, а й із організаційними, інституційними та навіть комунікаційними аспектами.</w:t>
      </w:r>
    </w:p>
    <w:p w14:paraId="6A817246"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Якщо подивитися загально, то проблеми можна умовно поділити на кілька груп: правові, інституційні, інформаційні, кадрові та практичні. Кожна з них по-своєму впливає на те, як саме запускається і проходить процедура транскордонної ОВД.</w:t>
      </w:r>
    </w:p>
    <w:p w14:paraId="0309CCBD"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Однією з перших проблем є недостатньо чітка деталізація окремих процедур у національному законодавстві. Хоча Закон України «Про оцінку впливу на довкілля» формально відповідає вимогам Конвенції Еспо, на практиці деякі механізми потребують додаткових роз’яснень. Наприклад, не завжди чітко визначено алгоритм взаємодії між різними органами влади під час транскордонних консультацій або строки окремих етапів міжнародного погодження [2].</w:t>
      </w:r>
    </w:p>
    <w:p w14:paraId="2A0011F4"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Друга важлива проблема − це інституційна складність. У процесі транскордонної ОВД залучено одразу кілька структур: Міністерство захисту довкілля та природних ресурсів України, уповноважені органи сусідніх держав, місцеві адміністрації та інші інституції. Через це інколи виникає затримка в обміні інформацією або дублювання функцій.</w:t>
      </w:r>
    </w:p>
    <w:p w14:paraId="5FBD8652"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Ще одна суттєва проблема − якість підготовки звітів з ОВД. У деяких випадках документи містять загальні або неповні дані, що ускладнює оцінку </w:t>
      </w:r>
      <w:r w:rsidRPr="00FC0CBD">
        <w:rPr>
          <w:sz w:val="28"/>
          <w:szCs w:val="28"/>
          <w:lang w:val="uk-UA"/>
        </w:rPr>
        <w:lastRenderedPageBreak/>
        <w:t>транскордонного впливу. Це особливо критично, коли йдеться про складні інфраструктурні або промислові проєкти, де необхідні точні моделювання та прогнозування наслідків [37].</w:t>
      </w:r>
    </w:p>
    <w:p w14:paraId="04D6EFFA"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Також варто звернути увагу на рівень участі громадськості. Хоча формально вона забезпечена, на практиці не завжди є достатня поінформованість населення або мотивація брати участь у процедурах. У транскордонних кейсах це ще складніше, оскільки громадяни іншої держави можуть мати обмежений доступ до інформації або мовні бар’єри.</w:t>
      </w:r>
    </w:p>
    <w:p w14:paraId="44C10AC8"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Не менш важливою є проблема технічного та інформаційного забезпечення. Попри існування Єдиного реєстру ОВД, не всі учасники процесу однаково ефективно використовують електронні інструменти. У деяких випадках документи потребують додаткового дублювання в паперовій формі або офіційних перекладів, що уповільнює процедуру [35].</w:t>
      </w:r>
    </w:p>
    <w:p w14:paraId="3CC78701"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Ще один важливий аспект − це кадровий потенціал. Транскордонна оцінка впливу на довкілля вимагає досить високого рівня підготовки спеціалістів, оскільки вона поєднує в собі не лише національне екологічне законодавство, а й міжнародні норми, положення Конвенції Еспо, директиви ЄС та практику інших держав. Це означає, що фахівець має орієнтуватися не тільки в українських процедурах, а й розуміти, як працюють аналогічні механізми в Європейському Союзі, як організовуються транскордонні консультації та які вимоги висуваються до змісту екологічної документації.</w:t>
      </w:r>
    </w:p>
    <w:p w14:paraId="4D92FDDD"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На практиці проблема полягає в тому, що кількість таких спеціалістів поки що обмежена. Особливо це відчутно на регіональному рівні, де часто бракує досвіду роботи саме з транскордонними кейсами. У результаті частина складних проєктів опрацьовується довше, а якість підготовки матеріалів може суттєво відрізнятися залежно від рівня компетентності виконавців [39].</w:t>
      </w:r>
    </w:p>
    <w:p w14:paraId="1B21F296"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Додатково ситуацію ускладнює те, що система підготовки кадрів у цій сфері ще формується. Не завжди є достатня кількість спеціалізованих програм навчання або практичних курсів, які б дозволяли швидко підвищувати кваліфікацію фахівців саме в контексті транскордонної ОВД. Через це частина </w:t>
      </w:r>
      <w:r w:rsidRPr="00FC0CBD">
        <w:rPr>
          <w:sz w:val="28"/>
          <w:szCs w:val="28"/>
          <w:lang w:val="uk-UA"/>
        </w:rPr>
        <w:lastRenderedPageBreak/>
        <w:t>знань набувається вже безпосередньо в процесі роботи, що не завжди є оптимальним варіантом.</w:t>
      </w:r>
    </w:p>
    <w:p w14:paraId="00641C2B" w14:textId="315910C1"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Для кращого розуміння основних проблем реалізації транскордонної ОВД в Україні наведено узагальнюючу схему</w:t>
      </w:r>
      <w:r w:rsidR="00FC0CBD">
        <w:rPr>
          <w:sz w:val="28"/>
          <w:szCs w:val="28"/>
          <w:lang w:val="uk-UA"/>
        </w:rPr>
        <w:t xml:space="preserve"> (рис. 3.1)</w:t>
      </w:r>
      <w:r w:rsidRPr="00FC0CBD">
        <w:rPr>
          <w:sz w:val="28"/>
          <w:szCs w:val="28"/>
          <w:lang w:val="uk-UA"/>
        </w:rPr>
        <w:t>.</w:t>
      </w:r>
    </w:p>
    <w:p w14:paraId="1B994F87" w14:textId="77777777" w:rsidR="00E62C75" w:rsidRPr="00FC0CBD" w:rsidRDefault="00000000">
      <w:pPr>
        <w:pStyle w:val="a8"/>
        <w:spacing w:beforeAutospacing="0" w:afterAutospacing="0" w:line="360" w:lineRule="auto"/>
        <w:ind w:rightChars="19" w:right="38" w:firstLineChars="214" w:firstLine="599"/>
        <w:jc w:val="both"/>
        <w:rPr>
          <w:sz w:val="28"/>
          <w:szCs w:val="28"/>
          <w:lang w:val="uk-UA"/>
        </w:rPr>
      </w:pPr>
      <w:r w:rsidRPr="00FC0CBD">
        <w:rPr>
          <w:noProof/>
          <w:sz w:val="28"/>
          <w:szCs w:val="28"/>
          <w:lang w:val="uk-UA"/>
        </w:rPr>
        <w:drawing>
          <wp:inline distT="0" distB="0" distL="114300" distR="114300" wp14:anchorId="3D155DB4" wp14:editId="77B88F7D">
            <wp:extent cx="4342130" cy="5078095"/>
            <wp:effectExtent l="0" t="0" r="0" b="8255"/>
            <wp:docPr id="4" name="Диаграм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4F50D30" w14:textId="04722618" w:rsidR="00E62C75" w:rsidRPr="00D7354C" w:rsidRDefault="00000000" w:rsidP="00D7354C">
      <w:pPr>
        <w:pStyle w:val="a8"/>
        <w:spacing w:beforeAutospacing="0" w:afterAutospacing="0"/>
        <w:ind w:rightChars="19" w:right="38" w:firstLineChars="214" w:firstLine="516"/>
        <w:jc w:val="center"/>
        <w:rPr>
          <w:b/>
          <w:bCs/>
          <w:lang w:val="uk-UA"/>
        </w:rPr>
      </w:pPr>
      <w:r w:rsidRPr="00D7354C">
        <w:rPr>
          <w:b/>
          <w:bCs/>
          <w:lang w:val="uk-UA"/>
        </w:rPr>
        <w:t>Рис. 3.1</w:t>
      </w:r>
      <w:r w:rsidR="00D7354C" w:rsidRPr="00D7354C">
        <w:rPr>
          <w:b/>
          <w:bCs/>
          <w:lang w:val="uk-UA"/>
        </w:rPr>
        <w:t>.</w:t>
      </w:r>
      <w:r w:rsidRPr="00D7354C">
        <w:rPr>
          <w:b/>
          <w:bCs/>
          <w:lang w:val="uk-UA"/>
        </w:rPr>
        <w:t xml:space="preserve"> Основні проблеми реалізації транскордонної ОВД в Україні</w:t>
      </w:r>
      <w:r w:rsidR="00D7354C" w:rsidRPr="00D7354C">
        <w:rPr>
          <w:b/>
          <w:bCs/>
          <w:lang w:val="uk-UA"/>
        </w:rPr>
        <w:t xml:space="preserve"> (</w:t>
      </w:r>
      <w:r w:rsidRPr="00D7354C">
        <w:rPr>
          <w:b/>
          <w:bCs/>
          <w:lang w:val="uk-UA"/>
        </w:rPr>
        <w:t>складено автором на основі аналізу Закону України «Про оцінку впливу на довкілля», практики застосування Конвенції Еспо та звітів Міністерства захисту довкілля та природних ресурсів України [2; 20]</w:t>
      </w:r>
      <w:r w:rsidR="00D7354C" w:rsidRPr="00D7354C">
        <w:rPr>
          <w:b/>
          <w:bCs/>
          <w:lang w:val="uk-UA"/>
        </w:rPr>
        <w:t>)</w:t>
      </w:r>
    </w:p>
    <w:p w14:paraId="54C0D3E2" w14:textId="77777777" w:rsidR="00FC0CBD" w:rsidRPr="00FC0CBD" w:rsidRDefault="00FC0CBD">
      <w:pPr>
        <w:pStyle w:val="a8"/>
        <w:spacing w:beforeAutospacing="0" w:afterAutospacing="0" w:line="360" w:lineRule="auto"/>
        <w:ind w:firstLineChars="214" w:firstLine="599"/>
        <w:jc w:val="both"/>
        <w:rPr>
          <w:i/>
          <w:iCs/>
          <w:sz w:val="28"/>
          <w:szCs w:val="28"/>
          <w:lang w:val="uk-UA"/>
        </w:rPr>
      </w:pPr>
    </w:p>
    <w:p w14:paraId="6807ABFF" w14:textId="19BB3CF7"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 xml:space="preserve">Як видно зі схеми, ці проблеми не існують окремо одна від одної, а постійно перетинаються та підсилюють одна одну. Наприклад, якщо бракує кваліфікованих фахівців, це одразу відображається на якості підготовки звітів з оцінки впливу на довкілля, оскільки складні екологічні розрахунки та прогнозування потребують досвіду і розуміння міжнародних вимог. У свою чергу, слабка якість звітної документації ускладнює роботу іноземних сторін під </w:t>
      </w:r>
      <w:r w:rsidRPr="00FC0CBD">
        <w:rPr>
          <w:sz w:val="28"/>
          <w:szCs w:val="28"/>
          <w:lang w:val="uk-UA"/>
        </w:rPr>
        <w:lastRenderedPageBreak/>
        <w:t>час транскордонних консультацій і може викликати додаткові запити, затримки або навіть повторне опрацювання матеріалів.</w:t>
      </w:r>
    </w:p>
    <w:p w14:paraId="095E535F" w14:textId="3F1E9BDC"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Подібна ситуація спостерігається і з інформаційними процесами. Коли доступ до даних обмежений або громадськість недостатньо поінформована про плановану діяльність, рівень участі людей у прийнятті рішень помітно знижується. Це особливо відчутно у транскордонних випадках, де важливо забезпечити рівний доступ до інформації як для української громадськості, так і для громадян сусідніх держав. Якщо цього немає, процедура втрачає свою відкритість і може сприйматися як формальна [40].</w:t>
      </w:r>
    </w:p>
    <w:p w14:paraId="02B10F0D" w14:textId="144E0F61"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Окремо варто звернути увагу на інституційну складність. Велика кількість органів, залучених до процесу, інколи призводить до розмиття відповідальності. У результаті погодження документів займає більше часу, а комунікація між сторонами стає менш ефективною. Це створює затримки на етапі консультацій і може впливати на загальну тривалість процедури ОВД.</w:t>
      </w:r>
    </w:p>
    <w:p w14:paraId="5D9B074A" w14:textId="11B0C885"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Усі ці фактори в сукупності формують ситуацію, коли транскордонна оцінка впливу на довкілля в Україні вже має необхідну правову основу і формально відповідає міжнародним стандартам, але її практична реалізація ще не є повністю стабільною та однаково ефективною на всіх рівнях. Порівняно з країнами Європейського Союзу, де ця система працює як відпрацьований механізм із чітко налагодженою координацією та високою якістю даних, в Україні вона все ще перебуває у процесі розвитку [10].</w:t>
      </w:r>
    </w:p>
    <w:p w14:paraId="1F738A1D" w14:textId="46094658"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Саме тому подальше вдосконалення цієї сфери потребує комплексного підходу. Недостатньо змінювати лише законодавство або лише технічні інструменти − важливо одночасно покращувати координацію між органами влади, підвищувати рівень підготовки спеціалістів, розвивати цифрові сервіси та забезпечувати реальну, а не формальну участь громадськості. Лише за таких умов транскордонна ОВД зможе повноцінно виконувати свою функцію як інструмент запобігання екологічним ризикам і гармонізації інтересів різних держав.</w:t>
      </w:r>
    </w:p>
    <w:p w14:paraId="2E86380D" w14:textId="77777777" w:rsidR="00E62C75" w:rsidRPr="00FC0CBD" w:rsidRDefault="00E62C75">
      <w:pPr>
        <w:pStyle w:val="a8"/>
        <w:spacing w:beforeAutospacing="0" w:afterAutospacing="0" w:line="360" w:lineRule="auto"/>
        <w:ind w:rightChars="19" w:right="38" w:firstLineChars="214" w:firstLine="599"/>
        <w:jc w:val="both"/>
        <w:rPr>
          <w:sz w:val="28"/>
          <w:szCs w:val="28"/>
          <w:lang w:val="uk-UA"/>
        </w:rPr>
      </w:pPr>
    </w:p>
    <w:p w14:paraId="6E21296E" w14:textId="77777777" w:rsidR="00E62C75" w:rsidRPr="00FC0CBD" w:rsidRDefault="00000000" w:rsidP="00D7354C">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3.3. Перспективи адаптації європейських стандартів ОВД в умовах євроінтеграції</w:t>
      </w:r>
    </w:p>
    <w:p w14:paraId="093F5195"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Європейська інтеграція України напряму впливає на розвиток екологічної політики, і сфера оцінки впливу на довкілля тут є однією з ключових. Це пов’язано з тим, що в ЄС екологічні стандарти досить високі, і без їх врахування складно говорити про повноцінну інтеграцію в економічний та правовий простір Європи.</w:t>
      </w:r>
    </w:p>
    <w:p w14:paraId="5D2974E7"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Україна вже зробила важливий крок, прийнявши Закон «Про оцінку впливу на довкілля», який загалом відповідає Директиві 2011/92/ЄС. Але на практиці адаптація європейських стандартів − це не тільки про наявність закону. Це про те, як він працює щодня: наскільки якісно готуються звіти, як проходять консультації, чи реально враховується думка громадськості, і чи ефективно працює транскордонний механізм [16] (Додаток Б). </w:t>
      </w:r>
    </w:p>
    <w:p w14:paraId="1A76AF77"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Однією з головних перспектив є підвищення якості самої процедури ОВД. У країнах ЄС звіти зазвичай дуже детальні: вони включають моделювання впливу на повітря, воду, ґрунти, шумове навантаження, біорізноманіття та навіть вплив на здоров’я людей. В Україні цей рівень деталізації поступово зростає, але поки що не завжди є стабільним.</w:t>
      </w:r>
    </w:p>
    <w:p w14:paraId="56363122"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Ще один важливий напрям − посилення ролі громадськості. У європейській практиці громадські обговорення можуть реально змінювати проєкти. Якщо громада або екологічні організації бачать ризики, проєкт можуть змінити або навіть зупинити. В Україні така участь вже передбачена законом, але її вплив на фінальні рішення ще потребує посилення [18].</w:t>
      </w:r>
    </w:p>
    <w:p w14:paraId="7807DB6F" w14:textId="77777777"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Окремо варто виділити транскордонний вимір. Для України це особливо актуально, адже країна має спільні кордони з багатьма державами. Європейський підхід передбачає максимально раннє інформування сусідів і більш глибокі консультації ще на етапі планування проєкту. Це дозволяє уникати конфліктів і зменшувати екологічні ризики.</w:t>
      </w:r>
    </w:p>
    <w:p w14:paraId="607A3BB7" w14:textId="12F9B3AF" w:rsidR="00E62C75" w:rsidRPr="00FC0CBD" w:rsidRDefault="00000000" w:rsidP="00D7354C">
      <w:pPr>
        <w:pStyle w:val="a8"/>
        <w:spacing w:beforeAutospacing="0" w:afterAutospacing="0" w:line="360" w:lineRule="auto"/>
        <w:ind w:firstLine="709"/>
        <w:jc w:val="both"/>
        <w:rPr>
          <w:sz w:val="28"/>
          <w:szCs w:val="28"/>
          <w:lang w:val="uk-UA"/>
        </w:rPr>
      </w:pPr>
      <w:r w:rsidRPr="00FC0CBD">
        <w:rPr>
          <w:sz w:val="28"/>
          <w:szCs w:val="28"/>
          <w:lang w:val="uk-UA"/>
        </w:rPr>
        <w:t xml:space="preserve">Також перспективним є розвиток цифрових інструментів. У ЄС активно використовують електронні платформи, де можна подати документи, </w:t>
      </w:r>
      <w:r w:rsidRPr="00FC0CBD">
        <w:rPr>
          <w:sz w:val="28"/>
          <w:szCs w:val="28"/>
          <w:lang w:val="uk-UA"/>
        </w:rPr>
        <w:lastRenderedPageBreak/>
        <w:t>переглянути звіти та взяти участь у консультаціях онлайн. В Україні така система вже існує, але потребує подальшого вдосконалення та інтеграції з іншими державними реєстрами. Для кращого розуміння основних напрямів адаптації європейських стандартів ОВД подано узагальнюючу табл</w:t>
      </w:r>
      <w:r w:rsidR="00D7354C">
        <w:rPr>
          <w:sz w:val="28"/>
          <w:szCs w:val="28"/>
          <w:lang w:val="uk-UA"/>
        </w:rPr>
        <w:t>.</w:t>
      </w:r>
      <w:r w:rsidR="00FC0CBD">
        <w:rPr>
          <w:sz w:val="28"/>
          <w:szCs w:val="28"/>
          <w:lang w:val="uk-UA"/>
        </w:rPr>
        <w:t xml:space="preserve"> 3.1</w:t>
      </w:r>
      <w:r w:rsidRPr="00FC0CBD">
        <w:rPr>
          <w:sz w:val="28"/>
          <w:szCs w:val="28"/>
          <w:lang w:val="uk-UA"/>
        </w:rPr>
        <w:t>.</w:t>
      </w:r>
    </w:p>
    <w:p w14:paraId="4C51C833" w14:textId="77777777" w:rsidR="00E62C75" w:rsidRPr="00D7354C" w:rsidRDefault="00000000">
      <w:pPr>
        <w:pStyle w:val="3"/>
        <w:spacing w:beforeAutospacing="0" w:afterAutospacing="0" w:line="360" w:lineRule="auto"/>
        <w:ind w:firstLineChars="214" w:firstLine="514"/>
        <w:jc w:val="right"/>
        <w:rPr>
          <w:rFonts w:ascii="Times New Roman" w:hAnsi="Times New Roman" w:hint="default"/>
          <w:b w:val="0"/>
          <w:bCs w:val="0"/>
          <w:sz w:val="24"/>
          <w:szCs w:val="24"/>
          <w:lang w:val="uk-UA"/>
        </w:rPr>
      </w:pPr>
      <w:r w:rsidRPr="00D7354C">
        <w:rPr>
          <w:rFonts w:ascii="Times New Roman" w:hAnsi="Times New Roman" w:hint="default"/>
          <w:b w:val="0"/>
          <w:bCs w:val="0"/>
          <w:sz w:val="24"/>
          <w:szCs w:val="24"/>
          <w:lang w:val="uk-UA"/>
        </w:rPr>
        <w:t>Таблиця 3.1</w:t>
      </w:r>
    </w:p>
    <w:p w14:paraId="787A3BDE" w14:textId="77777777" w:rsidR="00E62C75" w:rsidRPr="00D7354C" w:rsidRDefault="00000000" w:rsidP="00D7354C">
      <w:pPr>
        <w:pStyle w:val="a8"/>
        <w:spacing w:beforeAutospacing="0" w:afterAutospacing="0"/>
        <w:ind w:firstLineChars="214" w:firstLine="516"/>
        <w:jc w:val="center"/>
        <w:rPr>
          <w:rStyle w:val="a4"/>
          <w:lang w:val="uk-UA"/>
        </w:rPr>
      </w:pPr>
      <w:r w:rsidRPr="00D7354C">
        <w:rPr>
          <w:rStyle w:val="a4"/>
          <w:lang w:val="uk-UA"/>
        </w:rPr>
        <w:t>Перспективи адаптації європейських стандартів ОВД в Україні</w:t>
      </w:r>
    </w:p>
    <w:p w14:paraId="79108EA4" w14:textId="3978C009" w:rsidR="00D7354C" w:rsidRPr="00E432DD" w:rsidRDefault="00D7354C" w:rsidP="00D7354C">
      <w:pPr>
        <w:pStyle w:val="a8"/>
        <w:spacing w:beforeAutospacing="0" w:afterAutospacing="0"/>
        <w:ind w:firstLineChars="214" w:firstLine="516"/>
        <w:jc w:val="center"/>
        <w:rPr>
          <w:lang w:val="uk-UA"/>
        </w:rPr>
      </w:pPr>
      <w:r w:rsidRPr="00E432DD">
        <w:rPr>
          <w:rStyle w:val="a4"/>
          <w:lang w:val="uk-UA"/>
        </w:rPr>
        <w:t>(</w:t>
      </w:r>
      <w:r w:rsidRPr="00D7354C">
        <w:rPr>
          <w:lang w:val="uk-UA"/>
        </w:rPr>
        <w:t>с</w:t>
      </w:r>
      <w:r w:rsidRPr="00D7354C">
        <w:rPr>
          <w:b/>
          <w:bCs/>
          <w:lang w:val="uk-UA"/>
        </w:rPr>
        <w:t>кладено автором на основі Директиви 2011/92/ЄС, Конвенції Еспо, Закону України «Про оцінку впливу на довкілля» та аналітичних матеріалів щодо євроінтеграції України [2; 16; 20</w:t>
      </w:r>
      <w:r w:rsidRPr="00D7354C">
        <w:rPr>
          <w:lang w:val="uk-UA"/>
        </w:rPr>
        <w:t>]</w:t>
      </w:r>
      <w:r w:rsidRPr="00E432DD">
        <w:rPr>
          <w:rStyle w:val="a4"/>
          <w:lang w:val="uk-UA"/>
        </w:rPr>
        <w:t>)</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1804"/>
        <w:gridCol w:w="2822"/>
        <w:gridCol w:w="2389"/>
        <w:gridCol w:w="2614"/>
      </w:tblGrid>
      <w:tr w:rsidR="00E62C75" w:rsidRPr="00D7354C" w14:paraId="3A73D461" w14:textId="77777777">
        <w:trPr>
          <w:tblHeader/>
        </w:trPr>
        <w:tc>
          <w:tcPr>
            <w:tcW w:w="0" w:type="auto"/>
            <w:tcBorders>
              <w:tl2br w:val="nil"/>
              <w:tr2bl w:val="nil"/>
            </w:tcBorders>
            <w:shd w:val="clear" w:color="auto" w:fill="auto"/>
            <w:vAlign w:val="center"/>
          </w:tcPr>
          <w:p w14:paraId="0457B0B5" w14:textId="77777777" w:rsidR="00E62C75" w:rsidRPr="00D7354C" w:rsidRDefault="00000000">
            <w:pPr>
              <w:jc w:val="center"/>
              <w:rPr>
                <w:rFonts w:ascii="Times New Roman" w:hAnsi="Times New Roman" w:cs="Times New Roman"/>
                <w:b/>
                <w:bCs/>
                <w:sz w:val="24"/>
                <w:szCs w:val="24"/>
                <w:lang w:val="uk-UA"/>
              </w:rPr>
            </w:pPr>
            <w:r w:rsidRPr="00D7354C">
              <w:rPr>
                <w:rFonts w:ascii="Times New Roman" w:eastAsia="SimSun" w:hAnsi="Times New Roman" w:cs="Times New Roman"/>
                <w:b/>
                <w:bCs/>
                <w:sz w:val="24"/>
                <w:szCs w:val="24"/>
                <w:lang w:val="uk-UA" w:bidi="ar"/>
              </w:rPr>
              <w:t>Напрям адаптації</w:t>
            </w:r>
          </w:p>
        </w:tc>
        <w:tc>
          <w:tcPr>
            <w:tcW w:w="0" w:type="auto"/>
            <w:tcBorders>
              <w:tl2br w:val="nil"/>
              <w:tr2bl w:val="nil"/>
            </w:tcBorders>
            <w:shd w:val="clear" w:color="auto" w:fill="auto"/>
            <w:vAlign w:val="center"/>
          </w:tcPr>
          <w:p w14:paraId="3322C960" w14:textId="77777777" w:rsidR="00E62C75" w:rsidRPr="00D7354C" w:rsidRDefault="00000000">
            <w:pPr>
              <w:jc w:val="center"/>
              <w:rPr>
                <w:rFonts w:ascii="Times New Roman" w:hAnsi="Times New Roman" w:cs="Times New Roman"/>
                <w:b/>
                <w:bCs/>
                <w:sz w:val="24"/>
                <w:szCs w:val="24"/>
                <w:lang w:val="uk-UA"/>
              </w:rPr>
            </w:pPr>
            <w:r w:rsidRPr="00D7354C">
              <w:rPr>
                <w:rFonts w:ascii="Times New Roman" w:eastAsia="SimSun" w:hAnsi="Times New Roman" w:cs="Times New Roman"/>
                <w:b/>
                <w:bCs/>
                <w:sz w:val="24"/>
                <w:szCs w:val="24"/>
                <w:lang w:val="uk-UA" w:bidi="ar"/>
              </w:rPr>
              <w:t>Суть змін</w:t>
            </w:r>
          </w:p>
        </w:tc>
        <w:tc>
          <w:tcPr>
            <w:tcW w:w="0" w:type="auto"/>
            <w:tcBorders>
              <w:tl2br w:val="nil"/>
              <w:tr2bl w:val="nil"/>
            </w:tcBorders>
            <w:shd w:val="clear" w:color="auto" w:fill="auto"/>
            <w:vAlign w:val="center"/>
          </w:tcPr>
          <w:p w14:paraId="58943580" w14:textId="77777777" w:rsidR="00E62C75" w:rsidRPr="00D7354C" w:rsidRDefault="00000000">
            <w:pPr>
              <w:jc w:val="center"/>
              <w:rPr>
                <w:rFonts w:ascii="Times New Roman" w:hAnsi="Times New Roman" w:cs="Times New Roman"/>
                <w:b/>
                <w:bCs/>
                <w:sz w:val="24"/>
                <w:szCs w:val="24"/>
                <w:lang w:val="uk-UA"/>
              </w:rPr>
            </w:pPr>
            <w:r w:rsidRPr="00D7354C">
              <w:rPr>
                <w:rFonts w:ascii="Times New Roman" w:eastAsia="SimSun" w:hAnsi="Times New Roman" w:cs="Times New Roman"/>
                <w:b/>
                <w:bCs/>
                <w:sz w:val="24"/>
                <w:szCs w:val="24"/>
                <w:lang w:val="uk-UA" w:bidi="ar"/>
              </w:rPr>
              <w:t>Очікуваний результат</w:t>
            </w:r>
          </w:p>
        </w:tc>
        <w:tc>
          <w:tcPr>
            <w:tcW w:w="0" w:type="auto"/>
            <w:tcBorders>
              <w:tl2br w:val="nil"/>
              <w:tr2bl w:val="nil"/>
            </w:tcBorders>
            <w:shd w:val="clear" w:color="auto" w:fill="auto"/>
            <w:vAlign w:val="center"/>
          </w:tcPr>
          <w:p w14:paraId="48D5503B" w14:textId="77777777" w:rsidR="00E62C75" w:rsidRPr="00D7354C" w:rsidRDefault="00000000">
            <w:pPr>
              <w:jc w:val="center"/>
              <w:rPr>
                <w:rFonts w:ascii="Times New Roman" w:hAnsi="Times New Roman" w:cs="Times New Roman"/>
                <w:b/>
                <w:bCs/>
                <w:sz w:val="24"/>
                <w:szCs w:val="24"/>
                <w:lang w:val="uk-UA"/>
              </w:rPr>
            </w:pPr>
            <w:r w:rsidRPr="00D7354C">
              <w:rPr>
                <w:rFonts w:ascii="Times New Roman" w:eastAsia="SimSun" w:hAnsi="Times New Roman" w:cs="Times New Roman"/>
                <w:b/>
                <w:bCs/>
                <w:sz w:val="24"/>
                <w:szCs w:val="24"/>
                <w:lang w:val="uk-UA" w:bidi="ar"/>
              </w:rPr>
              <w:t>Поточний стан в Україні</w:t>
            </w:r>
          </w:p>
        </w:tc>
      </w:tr>
      <w:tr w:rsidR="00E62C75" w:rsidRPr="00E432DD" w14:paraId="3DE5EFF4" w14:textId="77777777">
        <w:tc>
          <w:tcPr>
            <w:tcW w:w="0" w:type="auto"/>
            <w:tcBorders>
              <w:tl2br w:val="nil"/>
              <w:tr2bl w:val="nil"/>
            </w:tcBorders>
            <w:shd w:val="clear" w:color="auto" w:fill="auto"/>
            <w:vAlign w:val="center"/>
          </w:tcPr>
          <w:p w14:paraId="08A76B21"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Нормативний</w:t>
            </w:r>
          </w:p>
        </w:tc>
        <w:tc>
          <w:tcPr>
            <w:tcW w:w="0" w:type="auto"/>
            <w:tcBorders>
              <w:tl2br w:val="nil"/>
              <w:tr2bl w:val="nil"/>
            </w:tcBorders>
            <w:shd w:val="clear" w:color="auto" w:fill="auto"/>
            <w:vAlign w:val="center"/>
          </w:tcPr>
          <w:p w14:paraId="19C574F5"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Гармонізація законодавства з Директивою 2011/92/ЄС та практикою ЄС</w:t>
            </w:r>
          </w:p>
        </w:tc>
        <w:tc>
          <w:tcPr>
            <w:tcW w:w="0" w:type="auto"/>
            <w:tcBorders>
              <w:tl2br w:val="nil"/>
              <w:tr2bl w:val="nil"/>
            </w:tcBorders>
            <w:shd w:val="clear" w:color="auto" w:fill="auto"/>
            <w:vAlign w:val="center"/>
          </w:tcPr>
          <w:p w14:paraId="472495AC"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Єдині правила з ЄС, зменшення правових розбіжностей</w:t>
            </w:r>
          </w:p>
        </w:tc>
        <w:tc>
          <w:tcPr>
            <w:tcW w:w="0" w:type="auto"/>
            <w:tcBorders>
              <w:tl2br w:val="nil"/>
              <w:tr2bl w:val="nil"/>
            </w:tcBorders>
            <w:shd w:val="clear" w:color="auto" w:fill="auto"/>
            <w:vAlign w:val="center"/>
          </w:tcPr>
          <w:p w14:paraId="618EC9F0"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Базова відповідність вже є, але потребує уточнення процедур</w:t>
            </w:r>
          </w:p>
        </w:tc>
      </w:tr>
      <w:tr w:rsidR="00E62C75" w:rsidRPr="00E432DD" w14:paraId="0E4E6ADC" w14:textId="77777777">
        <w:tc>
          <w:tcPr>
            <w:tcW w:w="0" w:type="auto"/>
            <w:tcBorders>
              <w:tl2br w:val="nil"/>
              <w:tr2bl w:val="nil"/>
            </w:tcBorders>
            <w:shd w:val="clear" w:color="auto" w:fill="auto"/>
            <w:vAlign w:val="center"/>
          </w:tcPr>
          <w:p w14:paraId="39332F78"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Процедурний</w:t>
            </w:r>
          </w:p>
        </w:tc>
        <w:tc>
          <w:tcPr>
            <w:tcW w:w="0" w:type="auto"/>
            <w:tcBorders>
              <w:tl2br w:val="nil"/>
              <w:tr2bl w:val="nil"/>
            </w:tcBorders>
            <w:shd w:val="clear" w:color="auto" w:fill="auto"/>
            <w:vAlign w:val="center"/>
          </w:tcPr>
          <w:p w14:paraId="7BB0E189"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Чіткі строки, прозорі етапи, якісні консультації</w:t>
            </w:r>
          </w:p>
        </w:tc>
        <w:tc>
          <w:tcPr>
            <w:tcW w:w="0" w:type="auto"/>
            <w:tcBorders>
              <w:tl2br w:val="nil"/>
              <w:tr2bl w:val="nil"/>
            </w:tcBorders>
            <w:shd w:val="clear" w:color="auto" w:fill="auto"/>
            <w:vAlign w:val="center"/>
          </w:tcPr>
          <w:p w14:paraId="4BC947E5"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Швидша та зрозуміліша процедура ОВД</w:t>
            </w:r>
          </w:p>
        </w:tc>
        <w:tc>
          <w:tcPr>
            <w:tcW w:w="0" w:type="auto"/>
            <w:tcBorders>
              <w:tl2br w:val="nil"/>
              <w:tr2bl w:val="nil"/>
            </w:tcBorders>
            <w:shd w:val="clear" w:color="auto" w:fill="auto"/>
            <w:vAlign w:val="center"/>
          </w:tcPr>
          <w:p w14:paraId="03D7F13D"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Частково впроваджено, але є затримки на практиці</w:t>
            </w:r>
          </w:p>
        </w:tc>
      </w:tr>
      <w:tr w:rsidR="00E62C75" w:rsidRPr="00E432DD" w14:paraId="70CB6502" w14:textId="77777777">
        <w:tc>
          <w:tcPr>
            <w:tcW w:w="0" w:type="auto"/>
            <w:tcBorders>
              <w:tl2br w:val="nil"/>
              <w:tr2bl w:val="nil"/>
            </w:tcBorders>
            <w:shd w:val="clear" w:color="auto" w:fill="auto"/>
            <w:vAlign w:val="center"/>
          </w:tcPr>
          <w:p w14:paraId="71662826"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Громадська участь</w:t>
            </w:r>
          </w:p>
        </w:tc>
        <w:tc>
          <w:tcPr>
            <w:tcW w:w="0" w:type="auto"/>
            <w:tcBorders>
              <w:tl2br w:val="nil"/>
              <w:tr2bl w:val="nil"/>
            </w:tcBorders>
            <w:shd w:val="clear" w:color="auto" w:fill="auto"/>
            <w:vAlign w:val="center"/>
          </w:tcPr>
          <w:p w14:paraId="771F3CC7"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Посилення реального впливу громадськості</w:t>
            </w:r>
          </w:p>
        </w:tc>
        <w:tc>
          <w:tcPr>
            <w:tcW w:w="0" w:type="auto"/>
            <w:tcBorders>
              <w:tl2br w:val="nil"/>
              <w:tr2bl w:val="nil"/>
            </w:tcBorders>
            <w:shd w:val="clear" w:color="auto" w:fill="auto"/>
            <w:vAlign w:val="center"/>
          </w:tcPr>
          <w:p w14:paraId="046B8B9E"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Врахування думки населення у рішеннях</w:t>
            </w:r>
          </w:p>
        </w:tc>
        <w:tc>
          <w:tcPr>
            <w:tcW w:w="0" w:type="auto"/>
            <w:tcBorders>
              <w:tl2br w:val="nil"/>
              <w:tr2bl w:val="nil"/>
            </w:tcBorders>
            <w:shd w:val="clear" w:color="auto" w:fill="auto"/>
            <w:vAlign w:val="center"/>
          </w:tcPr>
          <w:p w14:paraId="2CD7E07A"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Формально забезпечено, але вплив ще обмежений</w:t>
            </w:r>
          </w:p>
        </w:tc>
      </w:tr>
      <w:tr w:rsidR="00E62C75" w:rsidRPr="00E432DD" w14:paraId="1E203690" w14:textId="77777777">
        <w:tc>
          <w:tcPr>
            <w:tcW w:w="0" w:type="auto"/>
            <w:tcBorders>
              <w:tl2br w:val="nil"/>
              <w:tr2bl w:val="nil"/>
            </w:tcBorders>
            <w:shd w:val="clear" w:color="auto" w:fill="auto"/>
            <w:vAlign w:val="center"/>
          </w:tcPr>
          <w:p w14:paraId="45EF02E0"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Транскордонний</w:t>
            </w:r>
          </w:p>
        </w:tc>
        <w:tc>
          <w:tcPr>
            <w:tcW w:w="0" w:type="auto"/>
            <w:tcBorders>
              <w:tl2br w:val="nil"/>
              <w:tr2bl w:val="nil"/>
            </w:tcBorders>
            <w:shd w:val="clear" w:color="auto" w:fill="auto"/>
            <w:vAlign w:val="center"/>
          </w:tcPr>
          <w:p w14:paraId="7D4E1CAB"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Раннє інформування та глибші консультації з сусідніми державами</w:t>
            </w:r>
          </w:p>
        </w:tc>
        <w:tc>
          <w:tcPr>
            <w:tcW w:w="0" w:type="auto"/>
            <w:tcBorders>
              <w:tl2br w:val="nil"/>
              <w:tr2bl w:val="nil"/>
            </w:tcBorders>
            <w:shd w:val="clear" w:color="auto" w:fill="auto"/>
            <w:vAlign w:val="center"/>
          </w:tcPr>
          <w:p w14:paraId="38AECF65"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Зменшення конфліктів і ризиків для довкілля</w:t>
            </w:r>
          </w:p>
        </w:tc>
        <w:tc>
          <w:tcPr>
            <w:tcW w:w="0" w:type="auto"/>
            <w:tcBorders>
              <w:tl2br w:val="nil"/>
              <w:tr2bl w:val="nil"/>
            </w:tcBorders>
            <w:shd w:val="clear" w:color="auto" w:fill="auto"/>
            <w:vAlign w:val="center"/>
          </w:tcPr>
          <w:p w14:paraId="25573886"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Відповідає Конвенції Еспо, але потребує практичного посилення</w:t>
            </w:r>
          </w:p>
        </w:tc>
      </w:tr>
      <w:tr w:rsidR="00E62C75" w:rsidRPr="00E432DD" w14:paraId="6B573F0F" w14:textId="77777777">
        <w:tc>
          <w:tcPr>
            <w:tcW w:w="0" w:type="auto"/>
            <w:tcBorders>
              <w:tl2br w:val="nil"/>
              <w:tr2bl w:val="nil"/>
            </w:tcBorders>
            <w:shd w:val="clear" w:color="auto" w:fill="auto"/>
            <w:vAlign w:val="center"/>
          </w:tcPr>
          <w:p w14:paraId="54D9E989"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Цифровізація</w:t>
            </w:r>
          </w:p>
        </w:tc>
        <w:tc>
          <w:tcPr>
            <w:tcW w:w="0" w:type="auto"/>
            <w:tcBorders>
              <w:tl2br w:val="nil"/>
              <w:tr2bl w:val="nil"/>
            </w:tcBorders>
            <w:shd w:val="clear" w:color="auto" w:fill="auto"/>
            <w:vAlign w:val="center"/>
          </w:tcPr>
          <w:p w14:paraId="46E10197"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Розвиток електронних платформ і реєстрів</w:t>
            </w:r>
          </w:p>
        </w:tc>
        <w:tc>
          <w:tcPr>
            <w:tcW w:w="0" w:type="auto"/>
            <w:tcBorders>
              <w:tl2br w:val="nil"/>
              <w:tr2bl w:val="nil"/>
            </w:tcBorders>
            <w:shd w:val="clear" w:color="auto" w:fill="auto"/>
            <w:vAlign w:val="center"/>
          </w:tcPr>
          <w:p w14:paraId="4106C902"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Прозорість і доступність інформації</w:t>
            </w:r>
          </w:p>
        </w:tc>
        <w:tc>
          <w:tcPr>
            <w:tcW w:w="0" w:type="auto"/>
            <w:tcBorders>
              <w:tl2br w:val="nil"/>
              <w:tr2bl w:val="nil"/>
            </w:tcBorders>
            <w:shd w:val="clear" w:color="auto" w:fill="auto"/>
            <w:vAlign w:val="center"/>
          </w:tcPr>
          <w:p w14:paraId="3C5A32AF"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Є реєстр ОВД, але потрібна інтеграція та модернізація</w:t>
            </w:r>
          </w:p>
        </w:tc>
      </w:tr>
      <w:tr w:rsidR="00E62C75" w:rsidRPr="00E432DD" w14:paraId="2F0F6828" w14:textId="77777777">
        <w:tc>
          <w:tcPr>
            <w:tcW w:w="0" w:type="auto"/>
            <w:tcBorders>
              <w:tl2br w:val="nil"/>
              <w:tr2bl w:val="nil"/>
            </w:tcBorders>
            <w:shd w:val="clear" w:color="auto" w:fill="auto"/>
            <w:vAlign w:val="center"/>
          </w:tcPr>
          <w:p w14:paraId="0D1B1A57"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Інституційний</w:t>
            </w:r>
          </w:p>
        </w:tc>
        <w:tc>
          <w:tcPr>
            <w:tcW w:w="0" w:type="auto"/>
            <w:tcBorders>
              <w:tl2br w:val="nil"/>
              <w:tr2bl w:val="nil"/>
            </w:tcBorders>
            <w:shd w:val="clear" w:color="auto" w:fill="auto"/>
            <w:vAlign w:val="center"/>
          </w:tcPr>
          <w:p w14:paraId="63CE20B1"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Підвищення кваліфікації та координації органів влади</w:t>
            </w:r>
          </w:p>
        </w:tc>
        <w:tc>
          <w:tcPr>
            <w:tcW w:w="0" w:type="auto"/>
            <w:tcBorders>
              <w:tl2br w:val="nil"/>
              <w:tr2bl w:val="nil"/>
            </w:tcBorders>
            <w:shd w:val="clear" w:color="auto" w:fill="auto"/>
            <w:vAlign w:val="center"/>
          </w:tcPr>
          <w:p w14:paraId="75C92321"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Ефективне управління процедурою</w:t>
            </w:r>
          </w:p>
        </w:tc>
        <w:tc>
          <w:tcPr>
            <w:tcW w:w="0" w:type="auto"/>
            <w:tcBorders>
              <w:tl2br w:val="nil"/>
              <w:tr2bl w:val="nil"/>
            </w:tcBorders>
            <w:shd w:val="clear" w:color="auto" w:fill="auto"/>
            <w:vAlign w:val="center"/>
          </w:tcPr>
          <w:p w14:paraId="40559A5B" w14:textId="77777777" w:rsidR="00E62C75" w:rsidRPr="00D7354C" w:rsidRDefault="00000000">
            <w:pPr>
              <w:jc w:val="center"/>
              <w:rPr>
                <w:rFonts w:ascii="Times New Roman" w:hAnsi="Times New Roman" w:cs="Times New Roman"/>
                <w:sz w:val="24"/>
                <w:szCs w:val="24"/>
                <w:lang w:val="uk-UA"/>
              </w:rPr>
            </w:pPr>
            <w:r w:rsidRPr="00D7354C">
              <w:rPr>
                <w:rFonts w:ascii="Times New Roman" w:eastAsia="SimSun" w:hAnsi="Times New Roman" w:cs="Times New Roman"/>
                <w:sz w:val="24"/>
                <w:szCs w:val="24"/>
                <w:lang w:val="uk-UA" w:bidi="ar"/>
              </w:rPr>
              <w:t>Поступовий розвиток, але кадровий дефіцит зберігається</w:t>
            </w:r>
          </w:p>
        </w:tc>
      </w:tr>
    </w:tbl>
    <w:p w14:paraId="55EAFE10" w14:textId="40E51FFC" w:rsidR="00FC0CBD" w:rsidRPr="00D7354C" w:rsidRDefault="00FC0CBD" w:rsidP="00D7354C">
      <w:pPr>
        <w:pStyle w:val="a8"/>
        <w:spacing w:beforeAutospacing="0" w:afterAutospacing="0" w:line="360" w:lineRule="auto"/>
        <w:jc w:val="both"/>
        <w:rPr>
          <w:i/>
          <w:iCs/>
          <w:sz w:val="28"/>
          <w:szCs w:val="28"/>
          <w:lang w:val="uk-UA"/>
        </w:rPr>
      </w:pPr>
    </w:p>
    <w:p w14:paraId="24AB334D" w14:textId="59050930" w:rsidR="00E62C75" w:rsidRPr="00FC0CBD" w:rsidRDefault="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Як видно з таблиці</w:t>
      </w:r>
      <w:r w:rsidR="00FC0CBD">
        <w:rPr>
          <w:sz w:val="28"/>
          <w:szCs w:val="28"/>
          <w:lang w:val="uk-UA"/>
        </w:rPr>
        <w:t xml:space="preserve"> 3.1</w:t>
      </w:r>
      <w:r w:rsidRPr="00FC0CBD">
        <w:rPr>
          <w:sz w:val="28"/>
          <w:szCs w:val="28"/>
          <w:lang w:val="uk-UA"/>
        </w:rPr>
        <w:t>, Україна вже має базову законодавчу основу, яка дозволяє працювати за європейськими правилами. Але головна різниця між Україною та країнами ЄС полягає не стільки в законах, скільки в практиці їх застосування.</w:t>
      </w:r>
    </w:p>
    <w:p w14:paraId="56DBE3EB" w14:textId="313E6C27" w:rsidR="00E62C75" w:rsidRPr="00FC0CBD" w:rsidRDefault="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У перспективі адаптація європейських стандартів може дати кілька важливих результатів. Насамперед це підвищення якості екологічних рішень, коли проєкти оцінюються більш комплексно, з урахуванням довгострокових наслідків. Також це зменшення ризиків транскордонних екологічних конфліктів, що особливо важливо для України як держави з активними міжнародними зв’язками.</w:t>
      </w:r>
    </w:p>
    <w:p w14:paraId="4CC38B22" w14:textId="42C7D55B" w:rsidR="00E62C75" w:rsidRPr="00FC0CBD" w:rsidRDefault="00D7354C">
      <w:pPr>
        <w:pStyle w:val="a8"/>
        <w:spacing w:beforeAutospacing="0" w:afterAutospacing="0" w:line="360" w:lineRule="auto"/>
        <w:ind w:firstLineChars="214" w:firstLine="599"/>
        <w:jc w:val="both"/>
        <w:rPr>
          <w:sz w:val="28"/>
          <w:szCs w:val="28"/>
          <w:lang w:val="uk-UA"/>
        </w:rPr>
      </w:pPr>
      <w:r>
        <w:rPr>
          <w:sz w:val="28"/>
          <w:szCs w:val="28"/>
          <w:lang w:val="uk-UA"/>
        </w:rPr>
        <w:lastRenderedPageBreak/>
        <w:t xml:space="preserve"> </w:t>
      </w:r>
      <w:r w:rsidRPr="00FC0CBD">
        <w:rPr>
          <w:sz w:val="28"/>
          <w:szCs w:val="28"/>
          <w:lang w:val="uk-UA"/>
        </w:rPr>
        <w:t>Ще один важливий ефект − покращення інвестиційної привабливості. Чіткі та прозорі правила ОВД роблять країну більш передбачуваною для бізнесу та міжнародних партнерів. Це особливо важливо в умовах відновлення економіки та залучення інвестицій у відбудову інфраструктури.</w:t>
      </w:r>
    </w:p>
    <w:p w14:paraId="71EE7F01" w14:textId="4485D06A" w:rsidR="00E62C75" w:rsidRPr="00FC0CBD" w:rsidRDefault="00D7354C" w:rsidP="00D7354C">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У підсумку можна сказати, що адаптація європейських стандартів ОВД − це не одноразова реформа, а поступовий процес, який охоплює законодавство, управлінські практики, рівень підготовки фахівців і загальну культуру прийняття рішень у сфері довкілля.</w:t>
      </w:r>
    </w:p>
    <w:p w14:paraId="658B4C90" w14:textId="065001F6" w:rsidR="00E62C75" w:rsidRPr="00FC0CBD" w:rsidRDefault="001506C9">
      <w:pPr>
        <w:pStyle w:val="2"/>
        <w:spacing w:beforeAutospacing="0" w:afterAutospacing="0" w:line="360" w:lineRule="auto"/>
        <w:ind w:firstLineChars="214" w:firstLine="602"/>
        <w:jc w:val="both"/>
        <w:rPr>
          <w:rFonts w:ascii="Times New Roman" w:hAnsi="Times New Roman" w:hint="default"/>
          <w:i w:val="0"/>
          <w:iCs w:val="0"/>
          <w:sz w:val="28"/>
          <w:szCs w:val="28"/>
          <w:lang w:val="uk-UA"/>
        </w:rPr>
      </w:pPr>
      <w:r>
        <w:rPr>
          <w:rFonts w:ascii="Times New Roman" w:hAnsi="Times New Roman" w:hint="default"/>
          <w:i w:val="0"/>
          <w:iCs w:val="0"/>
          <w:sz w:val="28"/>
          <w:szCs w:val="28"/>
          <w:lang w:val="uk-UA"/>
        </w:rPr>
        <w:t xml:space="preserve"> </w:t>
      </w:r>
      <w:r w:rsidRPr="00FC0CBD">
        <w:rPr>
          <w:rFonts w:ascii="Times New Roman" w:hAnsi="Times New Roman" w:hint="default"/>
          <w:i w:val="0"/>
          <w:iCs w:val="0"/>
          <w:sz w:val="28"/>
          <w:szCs w:val="28"/>
          <w:lang w:val="uk-UA"/>
        </w:rPr>
        <w:t>3.4. Напрями вдосконалення системи транскордонної ОВД в Україні</w:t>
      </w:r>
    </w:p>
    <w:p w14:paraId="2C050C40" w14:textId="5978B1F6"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Система транскордонної оцінки впливу на довкілля в Україні вже має базове нормативне підґрунтя і загалом відповідає міжнародним вимогам. Проте на практиці вона ще не завжди працює настільки ефективно, як у країнах Європейського Союзу. Через це постає потреба у подальшому вдосконаленні як самої процедури, так і умов її реалізації.</w:t>
      </w:r>
    </w:p>
    <w:p w14:paraId="58B3C838" w14:textId="4667FACE"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Якщо подивитися реально, то основні проблеми пов’язані не лише із законодавством, а й із тим, як організований процес: координація між органами влади, якість підготовки документів, рівень залучення громадськості та технічна база. Саме ці аспекти і визначають, наскільки ефективною є транскордонна ОВД на практиці.</w:t>
      </w:r>
    </w:p>
    <w:p w14:paraId="0414E570" w14:textId="1E0D92C5"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Одним із ключових напрямів удосконалення є покращення міжвідомчої координації. У транскордонних процедурах беруть участь різні органи, і важливо, щоб між ними була чітка система взаємодії. Це дозволить уникати затримок, дублювання функцій і втрати інформації під час обміну документами з іншими державами [30].</w:t>
      </w:r>
    </w:p>
    <w:p w14:paraId="30B2AC0A" w14:textId="09C4528E"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Ще один важливий напрям − підвищення якості підготовки звітів з оцінки впливу на довкілля. Йдеться про більш детальні екологічні дослідження, використання сучасних методів моделювання та врахування кумулятивного впливу. Це особливо важливо для транскордонних проєктів, де наслідки можуть поширюватися на кілька країн одночасно.</w:t>
      </w:r>
    </w:p>
    <w:p w14:paraId="517ED7DE" w14:textId="4B9FD3E6"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lastRenderedPageBreak/>
        <w:t xml:space="preserve"> </w:t>
      </w:r>
      <w:r w:rsidRPr="00FC0CBD">
        <w:rPr>
          <w:sz w:val="28"/>
          <w:szCs w:val="28"/>
          <w:lang w:val="uk-UA"/>
        </w:rPr>
        <w:t>Окрему увагу слід приділити розвитку участі громадськості. У європейській практиці громадськість є активним учасником процесу, а не формальною стороною. В Україні важливо забезпечити не лише доступ до інформації, а й реальну можливість впливати на рішення, особливо на ранніх етапах планування проєктів.</w:t>
      </w:r>
    </w:p>
    <w:p w14:paraId="0A2C507E" w14:textId="4D90EEE1"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Також перспективним напрямом є подальша цифровізація процедур ОВД. Електронні системи дозволяють пришвидшити обмін інформацією, зробити процес більш прозорим і зменшити бюрократичне навантаження. Розвиток цифрових платформ також може покращити доступ громадськості до документів, у тому числі в транскордонному форматі.</w:t>
      </w:r>
    </w:p>
    <w:p w14:paraId="6118BA61" w14:textId="4C28FCCA"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Важливою складовою є і підвищення кваліфікації фахівців. Транскордонна ОВД вимагає знання не тільки українського законодавства, а й міжнародних норм, практики ЄС та особливостей екологічної політики сусідніх держав. Без належної підготовки складно забезпечити якісний рівень оцінки [31].</w:t>
      </w:r>
    </w:p>
    <w:p w14:paraId="0CB2F575" w14:textId="1634EF76" w:rsidR="00E62C75" w:rsidRPr="00FC0CBD" w:rsidRDefault="001506C9">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Для систематизації основних напрямів удосконалення подано узагальнюючу табл</w:t>
      </w:r>
      <w:r>
        <w:rPr>
          <w:sz w:val="28"/>
          <w:szCs w:val="28"/>
          <w:lang w:val="uk-UA"/>
        </w:rPr>
        <w:t>.</w:t>
      </w:r>
      <w:r w:rsidR="00FC0CBD">
        <w:rPr>
          <w:sz w:val="28"/>
          <w:szCs w:val="28"/>
          <w:lang w:val="uk-UA"/>
        </w:rPr>
        <w:t xml:space="preserve"> 3.2</w:t>
      </w:r>
      <w:r w:rsidRPr="00FC0CBD">
        <w:rPr>
          <w:sz w:val="28"/>
          <w:szCs w:val="28"/>
          <w:lang w:val="uk-UA"/>
        </w:rPr>
        <w:t>.</w:t>
      </w:r>
      <w:r>
        <w:rPr>
          <w:sz w:val="28"/>
          <w:szCs w:val="28"/>
          <w:lang w:val="uk-UA"/>
        </w:rPr>
        <w:t xml:space="preserve"> </w:t>
      </w:r>
    </w:p>
    <w:p w14:paraId="5292CF08" w14:textId="77777777" w:rsidR="00E62C75" w:rsidRPr="00F32A61" w:rsidRDefault="00000000">
      <w:pPr>
        <w:pStyle w:val="3"/>
        <w:spacing w:beforeAutospacing="0" w:afterAutospacing="0" w:line="360" w:lineRule="auto"/>
        <w:ind w:firstLineChars="214" w:firstLine="514"/>
        <w:jc w:val="right"/>
        <w:rPr>
          <w:rFonts w:ascii="Times New Roman" w:hAnsi="Times New Roman" w:hint="default"/>
          <w:b w:val="0"/>
          <w:bCs w:val="0"/>
          <w:sz w:val="24"/>
          <w:szCs w:val="24"/>
          <w:lang w:val="uk-UA"/>
        </w:rPr>
      </w:pPr>
      <w:r w:rsidRPr="00F32A61">
        <w:rPr>
          <w:rFonts w:ascii="Times New Roman" w:hAnsi="Times New Roman" w:hint="default"/>
          <w:b w:val="0"/>
          <w:bCs w:val="0"/>
          <w:sz w:val="24"/>
          <w:szCs w:val="24"/>
          <w:lang w:val="uk-UA"/>
        </w:rPr>
        <w:t>Таблиця 3.2</w:t>
      </w:r>
    </w:p>
    <w:p w14:paraId="651D3601" w14:textId="77777777" w:rsidR="00E62C75" w:rsidRDefault="00000000" w:rsidP="00F32A61">
      <w:pPr>
        <w:pStyle w:val="a8"/>
        <w:spacing w:beforeAutospacing="0" w:afterAutospacing="0"/>
        <w:ind w:firstLineChars="214" w:firstLine="516"/>
        <w:jc w:val="center"/>
        <w:rPr>
          <w:rStyle w:val="a4"/>
          <w:lang w:val="uk-UA"/>
        </w:rPr>
      </w:pPr>
      <w:r w:rsidRPr="00F32A61">
        <w:rPr>
          <w:rStyle w:val="a4"/>
          <w:lang w:val="uk-UA"/>
        </w:rPr>
        <w:t>Напрями вдосконалення системи транскордонної ОВД в Україні</w:t>
      </w:r>
    </w:p>
    <w:p w14:paraId="3283F1BF" w14:textId="6167F806" w:rsidR="00F32A61" w:rsidRPr="00F32A61" w:rsidRDefault="00F32A61" w:rsidP="00F32A61">
      <w:pPr>
        <w:pStyle w:val="a8"/>
        <w:spacing w:beforeAutospacing="0" w:afterAutospacing="0"/>
        <w:ind w:firstLineChars="214" w:firstLine="516"/>
        <w:jc w:val="center"/>
        <w:rPr>
          <w:lang w:val="ru-RU"/>
        </w:rPr>
      </w:pPr>
      <w:r w:rsidRPr="00F32A61">
        <w:rPr>
          <w:rStyle w:val="a4"/>
          <w:lang w:val="ru-RU"/>
        </w:rPr>
        <w:t>(</w:t>
      </w:r>
      <w:r w:rsidRPr="00F32A61">
        <w:rPr>
          <w:b/>
          <w:bCs/>
          <w:lang w:val="uk-UA"/>
        </w:rPr>
        <w:t>складено автором на основі Закону України «Про оцінку впливу на довкілля», Конвенції Еспо та практики реформування системи екологічного управління в країнах ЄС [2; 20]</w:t>
      </w:r>
      <w:r w:rsidRPr="00F32A61">
        <w:rPr>
          <w:rStyle w:val="a4"/>
          <w:lang w:val="ru-RU"/>
        </w:rPr>
        <w:t>)</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2254"/>
        <w:gridCol w:w="4507"/>
        <w:gridCol w:w="2868"/>
      </w:tblGrid>
      <w:tr w:rsidR="00E62C75" w:rsidRPr="00F32A61" w14:paraId="538DD4A9" w14:textId="77777777">
        <w:trPr>
          <w:tblHeader/>
        </w:trPr>
        <w:tc>
          <w:tcPr>
            <w:tcW w:w="0" w:type="auto"/>
            <w:tcBorders>
              <w:tl2br w:val="nil"/>
              <w:tr2bl w:val="nil"/>
            </w:tcBorders>
            <w:shd w:val="clear" w:color="auto" w:fill="auto"/>
            <w:vAlign w:val="center"/>
          </w:tcPr>
          <w:p w14:paraId="2CADA4DF"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Напрям удосконалення</w:t>
            </w:r>
          </w:p>
        </w:tc>
        <w:tc>
          <w:tcPr>
            <w:tcW w:w="0" w:type="auto"/>
            <w:tcBorders>
              <w:tl2br w:val="nil"/>
              <w:tr2bl w:val="nil"/>
            </w:tcBorders>
            <w:shd w:val="clear" w:color="auto" w:fill="auto"/>
            <w:vAlign w:val="center"/>
          </w:tcPr>
          <w:p w14:paraId="1C9AD70E"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Суть заходів</w:t>
            </w:r>
          </w:p>
        </w:tc>
        <w:tc>
          <w:tcPr>
            <w:tcW w:w="0" w:type="auto"/>
            <w:tcBorders>
              <w:tl2br w:val="nil"/>
              <w:tr2bl w:val="nil"/>
            </w:tcBorders>
            <w:shd w:val="clear" w:color="auto" w:fill="auto"/>
            <w:vAlign w:val="center"/>
          </w:tcPr>
          <w:p w14:paraId="7B38F7F8"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Очікуваний ефект</w:t>
            </w:r>
          </w:p>
        </w:tc>
      </w:tr>
      <w:tr w:rsidR="00E62C75" w:rsidRPr="00F32A61" w14:paraId="21BFB909" w14:textId="77777777">
        <w:tc>
          <w:tcPr>
            <w:tcW w:w="0" w:type="auto"/>
            <w:tcBorders>
              <w:tl2br w:val="nil"/>
              <w:tr2bl w:val="nil"/>
            </w:tcBorders>
            <w:shd w:val="clear" w:color="auto" w:fill="auto"/>
            <w:vAlign w:val="center"/>
          </w:tcPr>
          <w:p w14:paraId="0324431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Нормативне вдосконалення</w:t>
            </w:r>
          </w:p>
        </w:tc>
        <w:tc>
          <w:tcPr>
            <w:tcW w:w="0" w:type="auto"/>
            <w:tcBorders>
              <w:tl2br w:val="nil"/>
              <w:tr2bl w:val="nil"/>
            </w:tcBorders>
            <w:shd w:val="clear" w:color="auto" w:fill="auto"/>
            <w:vAlign w:val="center"/>
          </w:tcPr>
          <w:p w14:paraId="212DBDB1"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Уточнення процедур транскордонної ОВД, гармонізація з практикою ЄС</w:t>
            </w:r>
          </w:p>
        </w:tc>
        <w:tc>
          <w:tcPr>
            <w:tcW w:w="0" w:type="auto"/>
            <w:tcBorders>
              <w:tl2br w:val="nil"/>
              <w:tr2bl w:val="nil"/>
            </w:tcBorders>
            <w:shd w:val="clear" w:color="auto" w:fill="auto"/>
            <w:vAlign w:val="center"/>
          </w:tcPr>
          <w:p w14:paraId="72D2F2F6"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Зменшення правової невизначеності</w:t>
            </w:r>
          </w:p>
        </w:tc>
      </w:tr>
      <w:tr w:rsidR="00E62C75" w:rsidRPr="00F32A61" w14:paraId="3FDB1583" w14:textId="77777777">
        <w:tc>
          <w:tcPr>
            <w:tcW w:w="0" w:type="auto"/>
            <w:tcBorders>
              <w:tl2br w:val="nil"/>
              <w:tr2bl w:val="nil"/>
            </w:tcBorders>
            <w:shd w:val="clear" w:color="auto" w:fill="auto"/>
            <w:vAlign w:val="center"/>
          </w:tcPr>
          <w:p w14:paraId="532A56E0"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Інституційна координація</w:t>
            </w:r>
          </w:p>
        </w:tc>
        <w:tc>
          <w:tcPr>
            <w:tcW w:w="0" w:type="auto"/>
            <w:tcBorders>
              <w:tl2br w:val="nil"/>
              <w:tr2bl w:val="nil"/>
            </w:tcBorders>
            <w:shd w:val="clear" w:color="auto" w:fill="auto"/>
            <w:vAlign w:val="center"/>
          </w:tcPr>
          <w:p w14:paraId="1A53A99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Чіткий розподіл обов’язків між органами влади</w:t>
            </w:r>
          </w:p>
        </w:tc>
        <w:tc>
          <w:tcPr>
            <w:tcW w:w="0" w:type="auto"/>
            <w:tcBorders>
              <w:tl2br w:val="nil"/>
              <w:tr2bl w:val="nil"/>
            </w:tcBorders>
            <w:shd w:val="clear" w:color="auto" w:fill="auto"/>
            <w:vAlign w:val="center"/>
          </w:tcPr>
          <w:p w14:paraId="169DD40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Швидша та узгоджена взаємодія</w:t>
            </w:r>
          </w:p>
        </w:tc>
      </w:tr>
      <w:tr w:rsidR="00E62C75" w:rsidRPr="00F32A61" w14:paraId="5C75FF63" w14:textId="77777777">
        <w:tc>
          <w:tcPr>
            <w:tcW w:w="0" w:type="auto"/>
            <w:tcBorders>
              <w:tl2br w:val="nil"/>
              <w:tr2bl w:val="nil"/>
            </w:tcBorders>
            <w:shd w:val="clear" w:color="auto" w:fill="auto"/>
            <w:vAlign w:val="center"/>
          </w:tcPr>
          <w:p w14:paraId="52D512B0"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Якість звітів ОВД</w:t>
            </w:r>
          </w:p>
        </w:tc>
        <w:tc>
          <w:tcPr>
            <w:tcW w:w="0" w:type="auto"/>
            <w:tcBorders>
              <w:tl2br w:val="nil"/>
              <w:tr2bl w:val="nil"/>
            </w:tcBorders>
            <w:shd w:val="clear" w:color="auto" w:fill="auto"/>
            <w:vAlign w:val="center"/>
          </w:tcPr>
          <w:p w14:paraId="533ACA7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Використання сучасних методів оцінки та моделювання</w:t>
            </w:r>
          </w:p>
        </w:tc>
        <w:tc>
          <w:tcPr>
            <w:tcW w:w="0" w:type="auto"/>
            <w:tcBorders>
              <w:tl2br w:val="nil"/>
              <w:tr2bl w:val="nil"/>
            </w:tcBorders>
            <w:shd w:val="clear" w:color="auto" w:fill="auto"/>
            <w:vAlign w:val="center"/>
          </w:tcPr>
          <w:p w14:paraId="11754F7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Більш точне прогнозування впливів</w:t>
            </w:r>
          </w:p>
        </w:tc>
      </w:tr>
      <w:tr w:rsidR="00E62C75" w:rsidRPr="00F32A61" w14:paraId="203BA46E" w14:textId="77777777">
        <w:tc>
          <w:tcPr>
            <w:tcW w:w="0" w:type="auto"/>
            <w:tcBorders>
              <w:tl2br w:val="nil"/>
              <w:tr2bl w:val="nil"/>
            </w:tcBorders>
            <w:shd w:val="clear" w:color="auto" w:fill="auto"/>
            <w:vAlign w:val="center"/>
          </w:tcPr>
          <w:p w14:paraId="35D36889"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Громадська участь</w:t>
            </w:r>
          </w:p>
        </w:tc>
        <w:tc>
          <w:tcPr>
            <w:tcW w:w="0" w:type="auto"/>
            <w:tcBorders>
              <w:tl2br w:val="nil"/>
              <w:tr2bl w:val="nil"/>
            </w:tcBorders>
            <w:shd w:val="clear" w:color="auto" w:fill="auto"/>
            <w:vAlign w:val="center"/>
          </w:tcPr>
          <w:p w14:paraId="0A5E150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Розширення реального впливу громадськості</w:t>
            </w:r>
          </w:p>
        </w:tc>
        <w:tc>
          <w:tcPr>
            <w:tcW w:w="0" w:type="auto"/>
            <w:tcBorders>
              <w:tl2br w:val="nil"/>
              <w:tr2bl w:val="nil"/>
            </w:tcBorders>
            <w:shd w:val="clear" w:color="auto" w:fill="auto"/>
            <w:vAlign w:val="center"/>
          </w:tcPr>
          <w:p w14:paraId="56589AE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Підвищення прозорості рішень</w:t>
            </w:r>
          </w:p>
        </w:tc>
      </w:tr>
      <w:tr w:rsidR="00E62C75" w:rsidRPr="00F32A61" w14:paraId="67956E14" w14:textId="77777777">
        <w:tc>
          <w:tcPr>
            <w:tcW w:w="0" w:type="auto"/>
            <w:tcBorders>
              <w:tl2br w:val="nil"/>
              <w:tr2bl w:val="nil"/>
            </w:tcBorders>
            <w:shd w:val="clear" w:color="auto" w:fill="auto"/>
            <w:vAlign w:val="center"/>
          </w:tcPr>
          <w:p w14:paraId="2B1FC3E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Цифровізація</w:t>
            </w:r>
          </w:p>
        </w:tc>
        <w:tc>
          <w:tcPr>
            <w:tcW w:w="0" w:type="auto"/>
            <w:tcBorders>
              <w:tl2br w:val="nil"/>
              <w:tr2bl w:val="nil"/>
            </w:tcBorders>
            <w:shd w:val="clear" w:color="auto" w:fill="auto"/>
            <w:vAlign w:val="center"/>
          </w:tcPr>
          <w:p w14:paraId="7CAAB094"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Розвиток електронних сервісів та міжнародного обміну даними</w:t>
            </w:r>
          </w:p>
        </w:tc>
        <w:tc>
          <w:tcPr>
            <w:tcW w:w="0" w:type="auto"/>
            <w:tcBorders>
              <w:tl2br w:val="nil"/>
              <w:tr2bl w:val="nil"/>
            </w:tcBorders>
            <w:shd w:val="clear" w:color="auto" w:fill="auto"/>
            <w:vAlign w:val="center"/>
          </w:tcPr>
          <w:p w14:paraId="3B452B2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Швидкість і відкритість процедур</w:t>
            </w:r>
          </w:p>
        </w:tc>
      </w:tr>
      <w:tr w:rsidR="00E62C75" w:rsidRPr="00F32A61" w14:paraId="21D9AA81" w14:textId="77777777">
        <w:tc>
          <w:tcPr>
            <w:tcW w:w="0" w:type="auto"/>
            <w:tcBorders>
              <w:tl2br w:val="nil"/>
              <w:tr2bl w:val="nil"/>
            </w:tcBorders>
            <w:shd w:val="clear" w:color="auto" w:fill="auto"/>
            <w:vAlign w:val="center"/>
          </w:tcPr>
          <w:p w14:paraId="6AACD93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Підготовка кадрів</w:t>
            </w:r>
          </w:p>
        </w:tc>
        <w:tc>
          <w:tcPr>
            <w:tcW w:w="0" w:type="auto"/>
            <w:tcBorders>
              <w:tl2br w:val="nil"/>
              <w:tr2bl w:val="nil"/>
            </w:tcBorders>
            <w:shd w:val="clear" w:color="auto" w:fill="auto"/>
            <w:vAlign w:val="center"/>
          </w:tcPr>
          <w:p w14:paraId="04161F0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Навчання фахівців за європейськими стандартами</w:t>
            </w:r>
          </w:p>
        </w:tc>
        <w:tc>
          <w:tcPr>
            <w:tcW w:w="0" w:type="auto"/>
            <w:tcBorders>
              <w:tl2br w:val="nil"/>
              <w:tr2bl w:val="nil"/>
            </w:tcBorders>
            <w:shd w:val="clear" w:color="auto" w:fill="auto"/>
            <w:vAlign w:val="center"/>
          </w:tcPr>
          <w:p w14:paraId="5FB0EF50"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Підвищення якості оцінки</w:t>
            </w:r>
          </w:p>
        </w:tc>
      </w:tr>
      <w:tr w:rsidR="00E62C75" w:rsidRPr="00FC0CBD" w14:paraId="63CAB03D" w14:textId="77777777">
        <w:tc>
          <w:tcPr>
            <w:tcW w:w="0" w:type="auto"/>
            <w:tcBorders>
              <w:tl2br w:val="nil"/>
              <w:tr2bl w:val="nil"/>
            </w:tcBorders>
            <w:shd w:val="clear" w:color="auto" w:fill="auto"/>
            <w:vAlign w:val="center"/>
          </w:tcPr>
          <w:p w14:paraId="366ED38E"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Міжнародна співпраця</w:t>
            </w:r>
          </w:p>
        </w:tc>
        <w:tc>
          <w:tcPr>
            <w:tcW w:w="0" w:type="auto"/>
            <w:tcBorders>
              <w:tl2br w:val="nil"/>
              <w:tr2bl w:val="nil"/>
            </w:tcBorders>
            <w:shd w:val="clear" w:color="auto" w:fill="auto"/>
            <w:vAlign w:val="center"/>
          </w:tcPr>
          <w:p w14:paraId="54B6CD5F"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Активні консультації з країнами ЄС</w:t>
            </w:r>
          </w:p>
        </w:tc>
        <w:tc>
          <w:tcPr>
            <w:tcW w:w="0" w:type="auto"/>
            <w:tcBorders>
              <w:tl2br w:val="nil"/>
              <w:tr2bl w:val="nil"/>
            </w:tcBorders>
            <w:shd w:val="clear" w:color="auto" w:fill="auto"/>
            <w:vAlign w:val="center"/>
          </w:tcPr>
          <w:p w14:paraId="03F186BD"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Зменшення транскордонних конфліктів</w:t>
            </w:r>
          </w:p>
        </w:tc>
      </w:tr>
    </w:tbl>
    <w:p w14:paraId="1736CDD1" w14:textId="4C63C14D" w:rsidR="00E62C75" w:rsidRPr="00FC0CBD" w:rsidRDefault="00F32A61">
      <w:pPr>
        <w:pStyle w:val="a8"/>
        <w:spacing w:beforeAutospacing="0" w:afterAutospacing="0" w:line="360" w:lineRule="auto"/>
        <w:ind w:firstLineChars="214" w:firstLine="599"/>
        <w:jc w:val="both"/>
        <w:rPr>
          <w:sz w:val="28"/>
          <w:szCs w:val="28"/>
          <w:lang w:val="uk-UA"/>
        </w:rPr>
      </w:pPr>
      <w:r>
        <w:rPr>
          <w:sz w:val="28"/>
          <w:szCs w:val="28"/>
          <w:lang w:val="uk-UA"/>
        </w:rPr>
        <w:lastRenderedPageBreak/>
        <w:t xml:space="preserve"> </w:t>
      </w:r>
      <w:r w:rsidRPr="00FC0CBD">
        <w:rPr>
          <w:sz w:val="28"/>
          <w:szCs w:val="28"/>
          <w:lang w:val="uk-UA"/>
        </w:rPr>
        <w:t>У підсумку можна сказати, що вдосконалення системи транскордонної оцінки впливу на довкілля в Україні не може бути точковим або частковим процесом. Йдеться про досить складну систему, де всі елементи між собою пов’язані, тому зміни в одній частині автоматично впливають на інші. Наприклад, навіть якщо буде оновлене законодавство, але при цьому залишиться слабка підготовка фахівців або недостатня координація між органами влади, ефективність процедури все одно буде обмеженою. Те саме стосується цифрових інструментів − вони можуть спростити процес, але не вирішать проблеми якості звітів або реальної участі громадськості [35].</w:t>
      </w:r>
    </w:p>
    <w:p w14:paraId="2C8294F5" w14:textId="29FB7580" w:rsidR="00E62C75" w:rsidRPr="00FC0CBD" w:rsidRDefault="00F32A61">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Саме тому важливо розглядати розвиток транскордонної ОВД як комплексну реформу, яка охоплює одразу кілька рівнів: правовий, інституційний, технічний і практичний. На правовому рівні це означає подальше наближення до стандартів Європейського Союзу та уточнення окремих процедур, щоб зменшити різночитання і зробити процес більш передбачуваним. На інституційному рівні йдеться про чіткий розподіл відповідальності між органами влади та налагодження стабільної взаємодії між ними, особливо під час транскордонних консультацій.</w:t>
      </w:r>
    </w:p>
    <w:p w14:paraId="2899402A" w14:textId="2ED770C4" w:rsidR="00E62C75" w:rsidRPr="00FC0CBD" w:rsidRDefault="00F32A61">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Не менш важливим є практичний рівень, де ключову роль відіграє якість підготовки матеріалів з оцінки впливу на довкілля. Саме від цього залежить, наскільки повно будуть враховані екологічні ризики і чи зможуть інші держави об’єктивно оцінити можливий вплив проєкту. Окремо варто підкреслити значення міжнародної взаємодії, оскільки транскордонна ОВД за своєю природою передбачає постійний обмін інформацією і консультації з сусідніми країнами [20].</w:t>
      </w:r>
    </w:p>
    <w:p w14:paraId="1A3F57D6" w14:textId="1A0DCAB3" w:rsidR="00E62C75" w:rsidRPr="00FC0CBD" w:rsidRDefault="00F32A61">
      <w:pPr>
        <w:pStyle w:val="a8"/>
        <w:spacing w:beforeAutospacing="0" w:afterAutospacing="0" w:line="360" w:lineRule="auto"/>
        <w:ind w:firstLineChars="214" w:firstLine="599"/>
        <w:jc w:val="both"/>
        <w:rPr>
          <w:sz w:val="28"/>
          <w:szCs w:val="28"/>
          <w:lang w:val="uk-UA"/>
        </w:rPr>
      </w:pPr>
      <w:r>
        <w:rPr>
          <w:sz w:val="28"/>
          <w:szCs w:val="28"/>
          <w:lang w:val="uk-UA"/>
        </w:rPr>
        <w:t xml:space="preserve"> </w:t>
      </w:r>
      <w:r w:rsidRPr="00FC0CBD">
        <w:rPr>
          <w:sz w:val="28"/>
          <w:szCs w:val="28"/>
          <w:lang w:val="uk-UA"/>
        </w:rPr>
        <w:t>Якщо всі ці елементи будуть розвиватися одночасно і узгоджено, тоді система зможе працювати значно ефективніше. У такому випадку транскордонна ОВД перестане бути формальною процедурою і перетвориться на реальний інструмент управління екологічними ризиками. Вона дозволятиме ще на етапі планування виявляти потенційні загрози, зменшувати негативний вплив на довкілля та уникати конфліктів між державами.</w:t>
      </w:r>
    </w:p>
    <w:p w14:paraId="0B1978A6" w14:textId="1E25F10C" w:rsidR="00E62C75" w:rsidRPr="00FC0CBD" w:rsidRDefault="00F32A61">
      <w:pPr>
        <w:pStyle w:val="a8"/>
        <w:spacing w:beforeAutospacing="0" w:afterAutospacing="0" w:line="360" w:lineRule="auto"/>
        <w:ind w:firstLineChars="214" w:firstLine="599"/>
        <w:jc w:val="both"/>
        <w:rPr>
          <w:sz w:val="28"/>
          <w:szCs w:val="28"/>
          <w:lang w:val="uk-UA"/>
        </w:rPr>
      </w:pPr>
      <w:r>
        <w:rPr>
          <w:sz w:val="28"/>
          <w:szCs w:val="28"/>
          <w:lang w:val="uk-UA"/>
        </w:rPr>
        <w:lastRenderedPageBreak/>
        <w:t xml:space="preserve"> </w:t>
      </w:r>
      <w:r w:rsidRPr="00FC0CBD">
        <w:rPr>
          <w:sz w:val="28"/>
          <w:szCs w:val="28"/>
          <w:lang w:val="uk-UA"/>
        </w:rPr>
        <w:t>У ширшому сенсі це також сприятиме зміцненню довіри між Україною та її сусідами, адже прозорі й зрозумілі правила екологічної оцінки є важливою частиною цивілізованої міжнародної співпраці.</w:t>
      </w:r>
    </w:p>
    <w:p w14:paraId="6B362BDA" w14:textId="77777777" w:rsidR="00E62C75" w:rsidRPr="00FC0CBD" w:rsidRDefault="00E62C75">
      <w:pPr>
        <w:pStyle w:val="a8"/>
        <w:spacing w:beforeAutospacing="0" w:afterAutospacing="0" w:line="360" w:lineRule="auto"/>
        <w:ind w:rightChars="19" w:right="38" w:firstLineChars="214" w:firstLine="599"/>
        <w:jc w:val="both"/>
        <w:rPr>
          <w:sz w:val="28"/>
          <w:szCs w:val="28"/>
          <w:lang w:val="uk-UA"/>
        </w:rPr>
      </w:pPr>
    </w:p>
    <w:p w14:paraId="183D4934" w14:textId="77777777" w:rsidR="00E62C75" w:rsidRPr="00FC0CBD" w:rsidRDefault="00000000" w:rsidP="00F32A61">
      <w:pPr>
        <w:pStyle w:val="2"/>
        <w:spacing w:beforeAutospacing="0" w:afterAutospacing="0" w:line="360" w:lineRule="auto"/>
        <w:ind w:firstLine="709"/>
        <w:jc w:val="both"/>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t>Висновки до розділу 3</w:t>
      </w:r>
    </w:p>
    <w:p w14:paraId="022DFEE0"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У третьому розділі розглянуто особливості впровадження міжнародного досвіду транскордонної оцінки впливу на довкілля в Україні, а також визначено основні можливості, проблеми та перспективи розвитку цієї системи в умовах євроінтеграції.</w:t>
      </w:r>
    </w:p>
    <w:p w14:paraId="39978695"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Встановлено, що нормативно-правова база ОВД в Україні вже сформована і загалом відповідає міжнародним вимогам, зокрема положенням Конвенції Еспо та Директиві 2011/92/ЄС. Водночас ефективність її реалізації на практиці залежить від якості інституційної взаємодії, рівня підготовки фахівців та реального дотримання процедурних вимог.</w:t>
      </w:r>
    </w:p>
    <w:p w14:paraId="0512C63F"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Аналіз показав, що транскордонна ОВД в Україні стикається з низкою проблем, серед яких найбільш суттєвими є недостатня координація між органами влади, обмежена якість підготовки звітів, нерівномірна участь громадськості, а також певні труднощі в організації міжнародних консультацій. Усе це впливає на швидкість і ефективність реалізації процедур.</w:t>
      </w:r>
    </w:p>
    <w:p w14:paraId="3C4C0746"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Разом із тим визначено, що Україна має значний потенціал для адаптації європейських стандартів у сфері ОВД. Основними напрямами розвитку є вдосконалення нормативної бази, посилення ролі громадськості, цифровізація процесів, підвищення кваліфікації спеціалістів та розвиток міжнародної співпраці.</w:t>
      </w:r>
    </w:p>
    <w:p w14:paraId="4BBFDE99"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Особливу увагу приділено тому, що вдосконалення системи транскордонної ОВД має відбуватися комплексно, оскільки всі її елементи взаємопов’язані. Лише одночасний розвиток правових, інституційних, технічних та організаційних складових дозволить забезпечити її ефективне функціонування.</w:t>
      </w:r>
    </w:p>
    <w:p w14:paraId="1ACB6914"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lastRenderedPageBreak/>
        <w:t>У цілому можна зробити висновок, що Україна вже має базові передумови для впровадження європейських підходів у сфері транскордонної ОВД, однак подальший розвиток цієї системи потребує практичного вдосконалення механізмів її реалізації та поглиблення інтеграції з міжнародними екологічними стандартами.</w:t>
      </w:r>
    </w:p>
    <w:p w14:paraId="088AE169"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52F63503"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4A5C92F3"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5C7E4C77"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7448696A"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1900EED6"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53D74DCD"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551BAD7E"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03D20F51"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6A9AC1D6"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1AB39284"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41CDE94B"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0E725814"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3135B39B"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2850C8A6"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137B027F"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48057C7B"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355EFD7E"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76243434"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51D2EEFB"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052BE7AC"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0238CB1E"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1FE6684B"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42327FF6"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5F9FF5F5"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05D084F2" w14:textId="2663D99C" w:rsidR="00E62C75" w:rsidRPr="00FC0CBD" w:rsidRDefault="00000000">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ВИСНОВКИ</w:t>
      </w:r>
    </w:p>
    <w:p w14:paraId="53E66503" w14:textId="77777777" w:rsidR="00F32A61" w:rsidRDefault="00F32A61">
      <w:pPr>
        <w:pStyle w:val="a8"/>
        <w:spacing w:beforeAutospacing="0" w:afterAutospacing="0" w:line="360" w:lineRule="auto"/>
        <w:ind w:firstLineChars="214" w:firstLine="599"/>
        <w:jc w:val="both"/>
        <w:rPr>
          <w:sz w:val="28"/>
          <w:szCs w:val="28"/>
          <w:lang w:val="uk-UA"/>
        </w:rPr>
      </w:pPr>
    </w:p>
    <w:p w14:paraId="40BAD5FB" w14:textId="16ABB25D"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У результаті виконання дипломної роботи було комплексно розглянуто міжнародний досвід оцінки впливу на довкілля у транскордонних проєктах та проаналізовано можливості його адаптації в Україні. Дослідження дозволило не лише узагальнити теоретичні підходи, а й виявити практичні особливості функціонування цієї системи в різних країнах, насамперед у державах Європейського Союзу.</w:t>
      </w:r>
    </w:p>
    <w:p w14:paraId="5AAFD2ED"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У першому розділі встановлено, що оцінка впливу на довкілля є одним із ключових інструментів екологічного управління, який дозволяє попередньо визначати потенційні ризики ще до реалізації проєктів. Особливу роль у формуванні сучасної системи ОВД відіграли міжнародні правові акти, зокрема Конвенція Еспо, яка стала базовим документом для регулювання транскордонних екологічних впливів. Також визначено, що транскордонна ОВД є складною системою, яка включає правові, організаційні та процедурні механізми, а її ефективність залежить від рівня взаємодії між державами та якості обміну інформацією.</w:t>
      </w:r>
    </w:p>
    <w:p w14:paraId="263BB8A6"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У другому розділі було проаналізовано міжнародний досвід застосування транскордонної ОВД в країнах Європейського Союзу. Доведено, що в ЄС ця процедура є не формальною вимогою, а реальним інструментом впливу на прийняття рішень щодо великих інфраструктурних, енергетичних і промислових проєктів. Особливістю є високий рівень прозорості, чітка регламентація процедур та обов’язкове залучення громадськості. Практика показує, що транскордонна ОВД у країнах ЄС часто призводить до суттєвого коригування проєктів: зміни трасування інфраструктури, посилення екологічних вимог або навіть відмови від реалізації окремих рішень у разі значних ризиків для довкілля.</w:t>
      </w:r>
    </w:p>
    <w:p w14:paraId="5C277705"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 xml:space="preserve">У третьому розділі досліджено стан впровадження транскордонної ОВД в Україні. Встановлено, що нормативно-правова база загалом відповідає міжнародним стандартам і вимогам Конвенції Еспо та директив ЄС. Водночас практична реалізація цієї процедури стикається з низкою проблем, серед яких </w:t>
      </w:r>
      <w:r w:rsidRPr="00FC0CBD">
        <w:rPr>
          <w:sz w:val="28"/>
          <w:szCs w:val="28"/>
          <w:lang w:val="uk-UA"/>
        </w:rPr>
        <w:lastRenderedPageBreak/>
        <w:t>можна виділити недостатню координацію між органами влади, нерівномірну якість підготовки звітів з ОВД, обмежену ефективність участі громадськості, а також дефіцит кваліфікованих фахівців у сфері транскордонних процедур. Окремо слід відзначити, що рівень міжнародної взаємодії значною мірою залежить від конкретних проєктів і не завжди є стабільним та уніфікованим.</w:t>
      </w:r>
    </w:p>
    <w:p w14:paraId="710DD5ED"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Водночас дослідження показало, що Україна має значний потенціал для подальшої адаптації європейських стандартів. Євроінтеграційний курс держави створює передумови для поступового вдосконалення системи ОВД, зокрема через гармонізацію законодавства, розвиток цифрових інструментів, підвищення прозорості процедур та посилення ролі громадськості. Важливим напрямом також є підготовка кадрів, здатних працювати відповідно до міжнародних вимог та стандартів.</w:t>
      </w:r>
    </w:p>
    <w:p w14:paraId="3AD4E081"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Окремо встановлено, що вдосконалення системи транскордонної ОВД має відбуватися комплексно, оскільки всі її елементи взаємопов’язані. Лише одночасний розвиток нормативної бази, інституційної координації, технічного забезпечення та професійної підготовки фахівців дозволить досягти стабільного та ефективного функціонування системи.</w:t>
      </w:r>
    </w:p>
    <w:p w14:paraId="13B59500" w14:textId="77777777" w:rsidR="00E62C75" w:rsidRPr="00FC0CBD" w:rsidRDefault="00000000" w:rsidP="00F32A61">
      <w:pPr>
        <w:pStyle w:val="a8"/>
        <w:spacing w:beforeAutospacing="0" w:afterAutospacing="0" w:line="360" w:lineRule="auto"/>
        <w:ind w:firstLine="709"/>
        <w:jc w:val="both"/>
        <w:rPr>
          <w:sz w:val="28"/>
          <w:szCs w:val="28"/>
          <w:lang w:val="uk-UA"/>
        </w:rPr>
      </w:pPr>
      <w:r w:rsidRPr="00FC0CBD">
        <w:rPr>
          <w:sz w:val="28"/>
          <w:szCs w:val="28"/>
          <w:lang w:val="uk-UA"/>
        </w:rPr>
        <w:t>У підсумку можна зробити висновок, що транскордонна оцінка впливу на довкілля є важливим інструментом забезпечення екологічної безпеки на міжнародному рівні. Для України її подальший розвиток має стратегічне значення, оскільки сприятиме зменшенню транскордонних екологічних ризиків, підвищенню якості управлінських рішень, зміцненню міжнародної співпраці та поглибленню інтеграції до європейського екологічного простору.</w:t>
      </w:r>
    </w:p>
    <w:p w14:paraId="3821D633" w14:textId="77777777" w:rsidR="00E62C75" w:rsidRPr="00FC0CBD" w:rsidRDefault="00E62C75" w:rsidP="00F32A61">
      <w:pPr>
        <w:pStyle w:val="a8"/>
        <w:spacing w:beforeAutospacing="0" w:afterAutospacing="0" w:line="360" w:lineRule="auto"/>
        <w:ind w:leftChars="167" w:left="334" w:rightChars="19" w:right="38" w:firstLine="709"/>
        <w:jc w:val="both"/>
        <w:rPr>
          <w:rFonts w:ascii="SimSun" w:hAnsi="SimSun" w:cs="SimSun"/>
          <w:lang w:val="uk-UA"/>
        </w:rPr>
      </w:pPr>
    </w:p>
    <w:p w14:paraId="05233B06"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339BF626"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013EE6A7"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652335C9"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12D344CD" w14:textId="77777777" w:rsidR="00E62C75" w:rsidRPr="00FC0CBD" w:rsidRDefault="00E62C75">
      <w:pPr>
        <w:pStyle w:val="a8"/>
        <w:spacing w:beforeAutospacing="0" w:afterAutospacing="0" w:line="360" w:lineRule="auto"/>
        <w:ind w:leftChars="167" w:left="334" w:rightChars="19" w:right="38"/>
        <w:jc w:val="both"/>
        <w:rPr>
          <w:rFonts w:ascii="SimSun" w:hAnsi="SimSun" w:cs="SimSun"/>
          <w:lang w:val="uk-UA"/>
        </w:rPr>
      </w:pPr>
    </w:p>
    <w:p w14:paraId="59C0BFA2" w14:textId="77777777" w:rsidR="00F32A61" w:rsidRDefault="00F32A61">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p>
    <w:p w14:paraId="4E03372D" w14:textId="3EEB08E3" w:rsidR="00E62C75" w:rsidRPr="00FC0CBD" w:rsidRDefault="00000000">
      <w:pPr>
        <w:pStyle w:val="2"/>
        <w:spacing w:beforeAutospacing="0" w:afterAutospacing="0" w:line="360" w:lineRule="auto"/>
        <w:ind w:firstLineChars="214" w:firstLine="602"/>
        <w:jc w:val="center"/>
        <w:rPr>
          <w:rFonts w:ascii="Times New Roman" w:hAnsi="Times New Roman" w:hint="default"/>
          <w:i w:val="0"/>
          <w:iCs w:val="0"/>
          <w:sz w:val="28"/>
          <w:szCs w:val="28"/>
          <w:lang w:val="uk-UA"/>
        </w:rPr>
      </w:pPr>
      <w:r w:rsidRPr="00FC0CBD">
        <w:rPr>
          <w:rFonts w:ascii="Times New Roman" w:hAnsi="Times New Roman" w:hint="default"/>
          <w:i w:val="0"/>
          <w:iCs w:val="0"/>
          <w:sz w:val="28"/>
          <w:szCs w:val="28"/>
          <w:lang w:val="uk-UA"/>
        </w:rPr>
        <w:lastRenderedPageBreak/>
        <w:t>СПИСОК ВИКОРИСТАНИХ ДЖЕРЕЛ</w:t>
      </w:r>
    </w:p>
    <w:p w14:paraId="6C6896DB" w14:textId="77777777" w:rsidR="00E62C75" w:rsidRPr="00FC0CBD" w:rsidRDefault="00E62C75">
      <w:pPr>
        <w:ind w:firstLineChars="300" w:firstLine="600"/>
        <w:rPr>
          <w:lang w:val="uk-UA"/>
        </w:rPr>
      </w:pPr>
    </w:p>
    <w:p w14:paraId="037043C7"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Аналітичні матеріали Міністерства захисту довкілля та природних ресурсів України щодо впровадження ОВД. – URL: </w:t>
      </w:r>
      <w:hyperlink r:id="rId13" w:tgtFrame="_new" w:history="1">
        <w:r w:rsidRPr="00FC0CBD">
          <w:rPr>
            <w:rStyle w:val="a3"/>
            <w:rFonts w:ascii="Times New Roman" w:hAnsi="Times New Roman" w:cs="Times New Roman"/>
            <w:sz w:val="28"/>
            <w:szCs w:val="28"/>
            <w:lang w:val="uk-UA"/>
          </w:rPr>
          <w:t>https://mepr.gov.ua</w:t>
        </w:r>
      </w:hyperlink>
      <w:r w:rsidRPr="00FC0CBD">
        <w:rPr>
          <w:rFonts w:ascii="Times New Roman" w:hAnsi="Times New Roman" w:cs="Times New Roman"/>
          <w:sz w:val="28"/>
          <w:szCs w:val="28"/>
          <w:lang w:val="uk-UA"/>
        </w:rPr>
        <w:t xml:space="preserve"> (дата звернення: 17.06.2026). </w:t>
      </w:r>
    </w:p>
    <w:p w14:paraId="04E4D248"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Верховна Рада України. Закон України «Про оцінку впливу на довкілля» №2059-VIII від 23.05.2017. – URL: </w:t>
      </w:r>
      <w:hyperlink r:id="rId14" w:tgtFrame="_new" w:history="1">
        <w:r w:rsidRPr="00FC0CBD">
          <w:rPr>
            <w:rStyle w:val="a3"/>
            <w:rFonts w:ascii="Times New Roman" w:hAnsi="Times New Roman" w:cs="Times New Roman"/>
            <w:sz w:val="28"/>
            <w:szCs w:val="28"/>
            <w:lang w:val="uk-UA"/>
          </w:rPr>
          <w:t>https://zakon.rada.gov.ua/laws/show/2059-19</w:t>
        </w:r>
      </w:hyperlink>
      <w:r w:rsidRPr="00FC0CBD">
        <w:rPr>
          <w:rFonts w:ascii="Times New Roman" w:hAnsi="Times New Roman" w:cs="Times New Roman"/>
          <w:sz w:val="28"/>
          <w:szCs w:val="28"/>
          <w:lang w:val="uk-UA"/>
        </w:rPr>
        <w:t xml:space="preserve"> (дата звернення: 17.06.2026). </w:t>
      </w:r>
    </w:p>
    <w:p w14:paraId="5963D558"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Верховна Рада України. Закон України «Про охорону навколишнього природного середовища». – URL: </w:t>
      </w:r>
      <w:hyperlink r:id="rId15" w:tgtFrame="_new" w:history="1">
        <w:r w:rsidRPr="00FC0CBD">
          <w:rPr>
            <w:rStyle w:val="a3"/>
            <w:rFonts w:ascii="Times New Roman" w:hAnsi="Times New Roman" w:cs="Times New Roman"/>
            <w:sz w:val="28"/>
            <w:szCs w:val="28"/>
            <w:lang w:val="uk-UA"/>
          </w:rPr>
          <w:t>https://zakon.rada.gov.ua/laws/show/1264-12</w:t>
        </w:r>
      </w:hyperlink>
      <w:r w:rsidRPr="00FC0CBD">
        <w:rPr>
          <w:rFonts w:ascii="Times New Roman" w:hAnsi="Times New Roman" w:cs="Times New Roman"/>
          <w:sz w:val="28"/>
          <w:szCs w:val="28"/>
          <w:lang w:val="uk-UA"/>
        </w:rPr>
        <w:t xml:space="preserve"> (дата звернення: 17.06.2026). </w:t>
      </w:r>
    </w:p>
    <w:p w14:paraId="65FC6BDB"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Верховна Рада України. Конвенція про оцінку впливу на навколишнє середовище у транскордонному контексті (Конвенція Еспо). – URL: </w:t>
      </w:r>
      <w:hyperlink r:id="rId16" w:tgtFrame="_new" w:history="1">
        <w:r w:rsidRPr="00FC0CBD">
          <w:rPr>
            <w:rStyle w:val="a3"/>
            <w:rFonts w:ascii="Times New Roman" w:hAnsi="Times New Roman" w:cs="Times New Roman"/>
            <w:sz w:val="28"/>
            <w:szCs w:val="28"/>
            <w:lang w:val="uk-UA"/>
          </w:rPr>
          <w:t>https://zakon.rada.gov.ua/laws/show/995_052</w:t>
        </w:r>
      </w:hyperlink>
      <w:r w:rsidRPr="00FC0CBD">
        <w:rPr>
          <w:rFonts w:ascii="Times New Roman" w:hAnsi="Times New Roman" w:cs="Times New Roman"/>
          <w:sz w:val="28"/>
          <w:szCs w:val="28"/>
          <w:lang w:val="uk-UA"/>
        </w:rPr>
        <w:t xml:space="preserve"> (дата звернення: 17.06.2026). </w:t>
      </w:r>
    </w:p>
    <w:p w14:paraId="1FC29710"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Державна служба статистики України. Офіційний сайт. – URL: </w:t>
      </w:r>
      <w:hyperlink r:id="rId17" w:tgtFrame="_new" w:history="1">
        <w:r w:rsidRPr="00FC0CBD">
          <w:rPr>
            <w:rStyle w:val="a3"/>
            <w:rFonts w:ascii="Times New Roman" w:hAnsi="Times New Roman" w:cs="Times New Roman"/>
            <w:sz w:val="28"/>
            <w:szCs w:val="28"/>
            <w:lang w:val="uk-UA"/>
          </w:rPr>
          <w:t>https://www.ukrstat.gov.ua</w:t>
        </w:r>
      </w:hyperlink>
      <w:r w:rsidRPr="00FC0CBD">
        <w:rPr>
          <w:rFonts w:ascii="Times New Roman" w:hAnsi="Times New Roman" w:cs="Times New Roman"/>
          <w:sz w:val="28"/>
          <w:szCs w:val="28"/>
          <w:lang w:val="uk-UA"/>
        </w:rPr>
        <w:t xml:space="preserve"> (дата звернення: 17.06.2026). </w:t>
      </w:r>
    </w:p>
    <w:p w14:paraId="072A06E0"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Дубовик О. Оцінка впливу на довкілля в Україні: сучасний стан і перспективи // Екологічна безпека. – 2024. – №2. – С. 45–52. </w:t>
      </w:r>
    </w:p>
    <w:p w14:paraId="72566C7B"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Екологічна платформа України. Матеріали досліджень. – URL: </w:t>
      </w:r>
      <w:hyperlink r:id="rId18" w:tgtFrame="_new" w:history="1">
        <w:r w:rsidRPr="00FC0CBD">
          <w:rPr>
            <w:rStyle w:val="a3"/>
            <w:rFonts w:ascii="Times New Roman" w:hAnsi="Times New Roman" w:cs="Times New Roman"/>
            <w:sz w:val="28"/>
            <w:szCs w:val="28"/>
            <w:lang w:val="uk-UA"/>
          </w:rPr>
          <w:t>https://ecoaction.org.ua</w:t>
        </w:r>
      </w:hyperlink>
      <w:r w:rsidRPr="00FC0CBD">
        <w:rPr>
          <w:rFonts w:ascii="Times New Roman" w:hAnsi="Times New Roman" w:cs="Times New Roman"/>
          <w:sz w:val="28"/>
          <w:szCs w:val="28"/>
          <w:lang w:val="uk-UA"/>
        </w:rPr>
        <w:t xml:space="preserve"> (дата звернення: 17.06.2026). </w:t>
      </w:r>
    </w:p>
    <w:p w14:paraId="788C91DB"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Кабінет Міністрів України. Офіційний портал. – URL: </w:t>
      </w:r>
      <w:hyperlink r:id="rId19" w:tgtFrame="_new" w:history="1">
        <w:r w:rsidRPr="00FC0CBD">
          <w:rPr>
            <w:rStyle w:val="a3"/>
            <w:rFonts w:ascii="Times New Roman" w:hAnsi="Times New Roman" w:cs="Times New Roman"/>
            <w:sz w:val="28"/>
            <w:szCs w:val="28"/>
            <w:lang w:val="uk-UA"/>
          </w:rPr>
          <w:t>https://www.kmu.gov.ua</w:t>
        </w:r>
      </w:hyperlink>
      <w:r w:rsidRPr="00FC0CBD">
        <w:rPr>
          <w:rFonts w:ascii="Times New Roman" w:hAnsi="Times New Roman" w:cs="Times New Roman"/>
          <w:sz w:val="28"/>
          <w:szCs w:val="28"/>
          <w:lang w:val="uk-UA"/>
        </w:rPr>
        <w:t xml:space="preserve"> (дата звернення: 17.06.2026). </w:t>
      </w:r>
    </w:p>
    <w:p w14:paraId="43C48368"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Кравченко І. Транскордонна екологічна політика України // Науковий вісник екології. – 2023. – №4. – С. 18–26. </w:t>
      </w:r>
    </w:p>
    <w:p w14:paraId="64F20891"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Міністерство захисту довкілля та природних ресурсів України. Офіційний сайт. – URL: </w:t>
      </w:r>
      <w:hyperlink r:id="rId20" w:tgtFrame="_new" w:history="1">
        <w:r w:rsidRPr="00FC0CBD">
          <w:rPr>
            <w:rStyle w:val="a3"/>
            <w:rFonts w:ascii="Times New Roman" w:hAnsi="Times New Roman" w:cs="Times New Roman"/>
            <w:sz w:val="28"/>
            <w:szCs w:val="28"/>
            <w:lang w:val="uk-UA"/>
          </w:rPr>
          <w:t>https://mepr.gov.ua</w:t>
        </w:r>
      </w:hyperlink>
      <w:r w:rsidRPr="00FC0CBD">
        <w:rPr>
          <w:rFonts w:ascii="Times New Roman" w:hAnsi="Times New Roman" w:cs="Times New Roman"/>
          <w:sz w:val="28"/>
          <w:szCs w:val="28"/>
          <w:lang w:val="uk-UA"/>
        </w:rPr>
        <w:t xml:space="preserve"> (дата звернення: 17.06.2026). </w:t>
      </w:r>
    </w:p>
    <w:p w14:paraId="343F9012"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Національна доповідь про стан навколишнього природного середовища України. – URL: </w:t>
      </w:r>
      <w:hyperlink r:id="rId21" w:tgtFrame="_new" w:history="1">
        <w:r w:rsidRPr="00FC0CBD">
          <w:rPr>
            <w:rStyle w:val="a3"/>
            <w:rFonts w:ascii="Times New Roman" w:hAnsi="Times New Roman" w:cs="Times New Roman"/>
            <w:sz w:val="28"/>
            <w:szCs w:val="28"/>
            <w:lang w:val="uk-UA"/>
          </w:rPr>
          <w:t>https://mepr.gov.ua</w:t>
        </w:r>
      </w:hyperlink>
      <w:r w:rsidRPr="00FC0CBD">
        <w:rPr>
          <w:rFonts w:ascii="Times New Roman" w:hAnsi="Times New Roman" w:cs="Times New Roman"/>
          <w:sz w:val="28"/>
          <w:szCs w:val="28"/>
          <w:lang w:val="uk-UA"/>
        </w:rPr>
        <w:t xml:space="preserve"> (дата звернення: 17.06.2026). </w:t>
      </w:r>
    </w:p>
    <w:p w14:paraId="0586E3E0"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Реєстр оцінки впливу на довкілля України. – URL: </w:t>
      </w:r>
      <w:hyperlink r:id="rId22" w:tgtFrame="_new" w:history="1">
        <w:r w:rsidRPr="00FC0CBD">
          <w:rPr>
            <w:rStyle w:val="a3"/>
            <w:rFonts w:ascii="Times New Roman" w:hAnsi="Times New Roman" w:cs="Times New Roman"/>
            <w:sz w:val="28"/>
            <w:szCs w:val="28"/>
            <w:lang w:val="uk-UA"/>
          </w:rPr>
          <w:t>https://eia.menr.gov.ua</w:t>
        </w:r>
      </w:hyperlink>
      <w:r w:rsidRPr="00FC0CBD">
        <w:rPr>
          <w:rFonts w:ascii="Times New Roman" w:hAnsi="Times New Roman" w:cs="Times New Roman"/>
          <w:sz w:val="28"/>
          <w:szCs w:val="28"/>
          <w:lang w:val="uk-UA"/>
        </w:rPr>
        <w:t xml:space="preserve"> (дата звернення: 17.06.2026). </w:t>
      </w:r>
    </w:p>
    <w:p w14:paraId="22E0B9FB"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lastRenderedPageBreak/>
        <w:t xml:space="preserve">Сидоренко М. Механізми реалізації процедури ОВД в Україні // Економіка та держава. – 2022. – №9. – С. 33–39. </w:t>
      </w:r>
    </w:p>
    <w:p w14:paraId="224B8F1A"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Український інститут екології та ресурсів. Аналітичні звіти. – URL: </w:t>
      </w:r>
      <w:hyperlink r:id="rId23" w:history="1">
        <w:r w:rsidRPr="00FC0CBD">
          <w:rPr>
            <w:rStyle w:val="a3"/>
            <w:rFonts w:ascii="Times New Roman" w:hAnsi="Times New Roman" w:cs="Times New Roman"/>
            <w:sz w:val="28"/>
            <w:szCs w:val="28"/>
            <w:lang w:val="uk-UA"/>
          </w:rPr>
          <w:t>https://uie.org.ua</w:t>
        </w:r>
      </w:hyperlink>
      <w:r w:rsidRPr="00FC0CBD">
        <w:rPr>
          <w:rFonts w:ascii="Times New Roman" w:hAnsi="Times New Roman" w:cs="Times New Roman"/>
          <w:sz w:val="28"/>
          <w:szCs w:val="28"/>
          <w:lang w:val="uk-UA"/>
        </w:rPr>
        <w:t xml:space="preserve"> (дата звернення: 17.06.2026). </w:t>
      </w:r>
    </w:p>
    <w:p w14:paraId="47BDA5C5"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Шевченко А. Євроінтеграційні процеси в екологічній сфері України // Право України. – 2023. – №7. – С. 61–68. </w:t>
      </w:r>
    </w:p>
    <w:p w14:paraId="518D61CA"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Aarhus Convention (1998). UNECE. – URL: </w:t>
      </w:r>
      <w:hyperlink r:id="rId24" w:tgtFrame="_new" w:history="1">
        <w:r w:rsidRPr="00FC0CBD">
          <w:rPr>
            <w:rStyle w:val="a3"/>
            <w:rFonts w:ascii="Times New Roman" w:hAnsi="Times New Roman" w:cs="Times New Roman"/>
            <w:sz w:val="28"/>
            <w:szCs w:val="28"/>
            <w:lang w:val="uk-UA"/>
          </w:rPr>
          <w:t>https://unece.org</w:t>
        </w:r>
      </w:hyperlink>
      <w:r w:rsidRPr="00FC0CBD">
        <w:rPr>
          <w:rFonts w:ascii="Times New Roman" w:hAnsi="Times New Roman" w:cs="Times New Roman"/>
          <w:sz w:val="28"/>
          <w:szCs w:val="28"/>
          <w:lang w:val="uk-UA"/>
        </w:rPr>
        <w:t xml:space="preserve"> (дата звернення: 17.06.2026). </w:t>
      </w:r>
    </w:p>
    <w:p w14:paraId="37ED5973"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Directive 2011/92/EU on Environmental Impact Assessment. – URL: </w:t>
      </w:r>
      <w:hyperlink r:id="rId25" w:tgtFrame="_new" w:history="1">
        <w:r w:rsidRPr="00FC0CBD">
          <w:rPr>
            <w:rStyle w:val="a3"/>
            <w:rFonts w:ascii="Times New Roman" w:hAnsi="Times New Roman" w:cs="Times New Roman"/>
            <w:sz w:val="28"/>
            <w:szCs w:val="28"/>
            <w:lang w:val="uk-UA"/>
          </w:rPr>
          <w:t>https://eur-lex.europa.eu</w:t>
        </w:r>
      </w:hyperlink>
      <w:r w:rsidRPr="00FC0CBD">
        <w:rPr>
          <w:rFonts w:ascii="Times New Roman" w:hAnsi="Times New Roman" w:cs="Times New Roman"/>
          <w:sz w:val="28"/>
          <w:szCs w:val="28"/>
          <w:lang w:val="uk-UA"/>
        </w:rPr>
        <w:t xml:space="preserve"> (дата звернення: 17.06.2026). </w:t>
      </w:r>
    </w:p>
    <w:p w14:paraId="278D6D2A"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Directive 2014/52/EU amending EIA Directive. – URL: </w:t>
      </w:r>
      <w:hyperlink r:id="rId26" w:tgtFrame="_new" w:history="1">
        <w:r w:rsidRPr="00FC0CBD">
          <w:rPr>
            <w:rStyle w:val="a3"/>
            <w:rFonts w:ascii="Times New Roman" w:hAnsi="Times New Roman" w:cs="Times New Roman"/>
            <w:sz w:val="28"/>
            <w:szCs w:val="28"/>
            <w:lang w:val="uk-UA"/>
          </w:rPr>
          <w:t>https://eur-lex.europa.eu</w:t>
        </w:r>
      </w:hyperlink>
      <w:r w:rsidRPr="00FC0CBD">
        <w:rPr>
          <w:rFonts w:ascii="Times New Roman" w:hAnsi="Times New Roman" w:cs="Times New Roman"/>
          <w:sz w:val="28"/>
          <w:szCs w:val="28"/>
          <w:lang w:val="uk-UA"/>
        </w:rPr>
        <w:t xml:space="preserve"> (дата звернення: 17.06.2026). </w:t>
      </w:r>
    </w:p>
    <w:p w14:paraId="77A1BCAC"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Greenpeace Europe. Environmental campaigns. – URL: </w:t>
      </w:r>
      <w:hyperlink r:id="rId27" w:tgtFrame="_new" w:history="1">
        <w:r w:rsidRPr="00FC0CBD">
          <w:rPr>
            <w:rStyle w:val="a3"/>
            <w:rFonts w:ascii="Times New Roman" w:hAnsi="Times New Roman" w:cs="Times New Roman"/>
            <w:sz w:val="28"/>
            <w:szCs w:val="28"/>
            <w:lang w:val="uk-UA"/>
          </w:rPr>
          <w:t>https://www.greenpeace.org</w:t>
        </w:r>
      </w:hyperlink>
      <w:r w:rsidRPr="00FC0CBD">
        <w:rPr>
          <w:rFonts w:ascii="Times New Roman" w:hAnsi="Times New Roman" w:cs="Times New Roman"/>
          <w:sz w:val="28"/>
          <w:szCs w:val="28"/>
          <w:lang w:val="uk-UA"/>
        </w:rPr>
        <w:t xml:space="preserve"> (дата звернення: 17.06.2026). </w:t>
      </w:r>
    </w:p>
    <w:p w14:paraId="12CFF937"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Espoo Convention (1991). UNECE. – URL: </w:t>
      </w:r>
      <w:hyperlink r:id="rId28" w:tgtFrame="_new" w:history="1">
        <w:r w:rsidRPr="00FC0CBD">
          <w:rPr>
            <w:rStyle w:val="a3"/>
            <w:rFonts w:ascii="Times New Roman" w:hAnsi="Times New Roman" w:cs="Times New Roman"/>
            <w:sz w:val="28"/>
            <w:szCs w:val="28"/>
            <w:lang w:val="uk-UA"/>
          </w:rPr>
          <w:t>https://unece.org</w:t>
        </w:r>
      </w:hyperlink>
      <w:r w:rsidRPr="00FC0CBD">
        <w:rPr>
          <w:rFonts w:ascii="Times New Roman" w:hAnsi="Times New Roman" w:cs="Times New Roman"/>
          <w:sz w:val="28"/>
          <w:szCs w:val="28"/>
          <w:lang w:val="uk-UA"/>
        </w:rPr>
        <w:t xml:space="preserve"> (дата звернення: 17.06.2026). </w:t>
      </w:r>
    </w:p>
    <w:p w14:paraId="4F9867A8"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Commission. Environmental Impact Assessment. – URL: </w:t>
      </w:r>
      <w:hyperlink r:id="rId29" w:tgtFrame="_new" w:history="1">
        <w:r w:rsidRPr="00FC0CBD">
          <w:rPr>
            <w:rStyle w:val="a3"/>
            <w:rFonts w:ascii="Times New Roman" w:hAnsi="Times New Roman" w:cs="Times New Roman"/>
            <w:sz w:val="28"/>
            <w:szCs w:val="28"/>
            <w:lang w:val="uk-UA"/>
          </w:rPr>
          <w:t>https://environment.ec.europa.eu</w:t>
        </w:r>
      </w:hyperlink>
      <w:r w:rsidRPr="00FC0CBD">
        <w:rPr>
          <w:rFonts w:ascii="Times New Roman" w:hAnsi="Times New Roman" w:cs="Times New Roman"/>
          <w:sz w:val="28"/>
          <w:szCs w:val="28"/>
          <w:lang w:val="uk-UA"/>
        </w:rPr>
        <w:t xml:space="preserve"> (дата звернення: 17.06.2026). </w:t>
      </w:r>
    </w:p>
    <w:p w14:paraId="24CD661C"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Environment Agency. Environmental assessment reports. – URL: </w:t>
      </w:r>
      <w:hyperlink r:id="rId30" w:tgtFrame="_new" w:history="1">
        <w:r w:rsidRPr="00FC0CBD">
          <w:rPr>
            <w:rStyle w:val="a3"/>
            <w:rFonts w:ascii="Times New Roman" w:hAnsi="Times New Roman" w:cs="Times New Roman"/>
            <w:sz w:val="28"/>
            <w:szCs w:val="28"/>
            <w:lang w:val="uk-UA"/>
          </w:rPr>
          <w:t>https://www.eea.europa.eu</w:t>
        </w:r>
      </w:hyperlink>
      <w:r w:rsidRPr="00FC0CBD">
        <w:rPr>
          <w:rFonts w:ascii="Times New Roman" w:hAnsi="Times New Roman" w:cs="Times New Roman"/>
          <w:sz w:val="28"/>
          <w:szCs w:val="28"/>
          <w:lang w:val="uk-UA"/>
        </w:rPr>
        <w:t xml:space="preserve"> (дата звернення: 17.06.2026). </w:t>
      </w:r>
    </w:p>
    <w:p w14:paraId="76D2FDFC"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Investment Bank. Environmental standards. – URL: </w:t>
      </w:r>
      <w:hyperlink r:id="rId31" w:tgtFrame="_new" w:history="1">
        <w:r w:rsidRPr="00FC0CBD">
          <w:rPr>
            <w:rStyle w:val="a3"/>
            <w:rFonts w:ascii="Times New Roman" w:hAnsi="Times New Roman" w:cs="Times New Roman"/>
            <w:sz w:val="28"/>
            <w:szCs w:val="28"/>
            <w:lang w:val="uk-UA"/>
          </w:rPr>
          <w:t>https://www.eib.org</w:t>
        </w:r>
      </w:hyperlink>
      <w:r w:rsidRPr="00FC0CBD">
        <w:rPr>
          <w:rFonts w:ascii="Times New Roman" w:hAnsi="Times New Roman" w:cs="Times New Roman"/>
          <w:sz w:val="28"/>
          <w:szCs w:val="28"/>
          <w:lang w:val="uk-UA"/>
        </w:rPr>
        <w:t xml:space="preserve"> (дата звернення: 17.06.2026). </w:t>
      </w:r>
    </w:p>
    <w:p w14:paraId="1766A722"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Parliament. Environmental policy documents. – URL: </w:t>
      </w:r>
      <w:hyperlink r:id="rId32" w:tgtFrame="_new" w:history="1">
        <w:r w:rsidRPr="00FC0CBD">
          <w:rPr>
            <w:rStyle w:val="a3"/>
            <w:rFonts w:ascii="Times New Roman" w:hAnsi="Times New Roman" w:cs="Times New Roman"/>
            <w:sz w:val="28"/>
            <w:szCs w:val="28"/>
            <w:lang w:val="uk-UA"/>
          </w:rPr>
          <w:t>https://www.europarl.europa.eu</w:t>
        </w:r>
      </w:hyperlink>
      <w:r w:rsidRPr="00FC0CBD">
        <w:rPr>
          <w:rFonts w:ascii="Times New Roman" w:hAnsi="Times New Roman" w:cs="Times New Roman"/>
          <w:sz w:val="28"/>
          <w:szCs w:val="28"/>
          <w:lang w:val="uk-UA"/>
        </w:rPr>
        <w:t xml:space="preserve"> (дата звернення: 17.06.2026). </w:t>
      </w:r>
    </w:p>
    <w:p w14:paraId="58267D1F"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Union. Official portal. – URL: </w:t>
      </w:r>
      <w:hyperlink r:id="rId33" w:tgtFrame="_new" w:history="1">
        <w:r w:rsidRPr="00FC0CBD">
          <w:rPr>
            <w:rStyle w:val="a3"/>
            <w:rFonts w:ascii="Times New Roman" w:hAnsi="Times New Roman" w:cs="Times New Roman"/>
            <w:sz w:val="28"/>
            <w:szCs w:val="28"/>
            <w:lang w:val="uk-UA"/>
          </w:rPr>
          <w:t>https://europa.eu</w:t>
        </w:r>
      </w:hyperlink>
      <w:r w:rsidRPr="00FC0CBD">
        <w:rPr>
          <w:rFonts w:ascii="Times New Roman" w:hAnsi="Times New Roman" w:cs="Times New Roman"/>
          <w:sz w:val="28"/>
          <w:szCs w:val="28"/>
          <w:lang w:val="uk-UA"/>
        </w:rPr>
        <w:t xml:space="preserve"> (дата звернення: 17.06.2026). </w:t>
      </w:r>
    </w:p>
    <w:p w14:paraId="579AE9D3"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Court of Justice. Environmental case law. – URL: </w:t>
      </w:r>
      <w:hyperlink r:id="rId34" w:tgtFrame="_new" w:history="1">
        <w:r w:rsidRPr="00FC0CBD">
          <w:rPr>
            <w:rStyle w:val="a3"/>
            <w:rFonts w:ascii="Times New Roman" w:hAnsi="Times New Roman" w:cs="Times New Roman"/>
            <w:sz w:val="28"/>
            <w:szCs w:val="28"/>
            <w:lang w:val="uk-UA"/>
          </w:rPr>
          <w:t>https://curia.europa.eu</w:t>
        </w:r>
      </w:hyperlink>
      <w:r w:rsidRPr="00FC0CBD">
        <w:rPr>
          <w:rFonts w:ascii="Times New Roman" w:hAnsi="Times New Roman" w:cs="Times New Roman"/>
          <w:sz w:val="28"/>
          <w:szCs w:val="28"/>
          <w:lang w:val="uk-UA"/>
        </w:rPr>
        <w:t xml:space="preserve"> (дата звернення: 17.06.2026). </w:t>
      </w:r>
    </w:p>
    <w:p w14:paraId="6D091C24"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European Commission EIA Guidelines. – URL: </w:t>
      </w:r>
      <w:hyperlink r:id="rId35" w:tgtFrame="_new" w:history="1">
        <w:r w:rsidRPr="00FC0CBD">
          <w:rPr>
            <w:rStyle w:val="a3"/>
            <w:rFonts w:ascii="Times New Roman" w:hAnsi="Times New Roman" w:cs="Times New Roman"/>
            <w:sz w:val="28"/>
            <w:szCs w:val="28"/>
            <w:lang w:val="uk-UA"/>
          </w:rPr>
          <w:t>https://ec.europa.eu</w:t>
        </w:r>
      </w:hyperlink>
      <w:r w:rsidRPr="00FC0CBD">
        <w:rPr>
          <w:rFonts w:ascii="Times New Roman" w:hAnsi="Times New Roman" w:cs="Times New Roman"/>
          <w:sz w:val="28"/>
          <w:szCs w:val="28"/>
          <w:lang w:val="uk-UA"/>
        </w:rPr>
        <w:t xml:space="preserve"> (дата звернення: 17.06.2026). </w:t>
      </w:r>
    </w:p>
    <w:p w14:paraId="11897EC7"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lastRenderedPageBreak/>
        <w:t xml:space="preserve">International Association for Impact Assessment (IAIA). – URL: </w:t>
      </w:r>
      <w:hyperlink r:id="rId36" w:tgtFrame="_new" w:history="1">
        <w:r w:rsidRPr="00FC0CBD">
          <w:rPr>
            <w:rStyle w:val="a3"/>
            <w:rFonts w:ascii="Times New Roman" w:hAnsi="Times New Roman" w:cs="Times New Roman"/>
            <w:sz w:val="28"/>
            <w:szCs w:val="28"/>
            <w:lang w:val="uk-UA"/>
          </w:rPr>
          <w:t>https://www.iaia.org</w:t>
        </w:r>
      </w:hyperlink>
      <w:r w:rsidRPr="00FC0CBD">
        <w:rPr>
          <w:rFonts w:ascii="Times New Roman" w:hAnsi="Times New Roman" w:cs="Times New Roman"/>
          <w:sz w:val="28"/>
          <w:szCs w:val="28"/>
          <w:lang w:val="uk-UA"/>
        </w:rPr>
        <w:t xml:space="preserve"> (дата звернення: 17.06.2026). </w:t>
      </w:r>
    </w:p>
    <w:p w14:paraId="62D148C5"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OECD Environmental Assessment Guidelines. – URL: </w:t>
      </w:r>
      <w:hyperlink r:id="rId37" w:tgtFrame="_new" w:history="1">
        <w:r w:rsidRPr="00FC0CBD">
          <w:rPr>
            <w:rStyle w:val="a3"/>
            <w:rFonts w:ascii="Times New Roman" w:hAnsi="Times New Roman" w:cs="Times New Roman"/>
            <w:sz w:val="28"/>
            <w:szCs w:val="28"/>
            <w:lang w:val="uk-UA"/>
          </w:rPr>
          <w:t>https://www.oecd.org</w:t>
        </w:r>
      </w:hyperlink>
      <w:r w:rsidRPr="00FC0CBD">
        <w:rPr>
          <w:rFonts w:ascii="Times New Roman" w:hAnsi="Times New Roman" w:cs="Times New Roman"/>
          <w:sz w:val="28"/>
          <w:szCs w:val="28"/>
          <w:lang w:val="uk-UA"/>
        </w:rPr>
        <w:t xml:space="preserve"> (дата звернення: 17.06.2026). </w:t>
      </w:r>
    </w:p>
    <w:p w14:paraId="11E19B6A"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OECD Environmental Outlook. – URL: </w:t>
      </w:r>
      <w:hyperlink r:id="rId38" w:tgtFrame="_new" w:history="1">
        <w:r w:rsidRPr="00FC0CBD">
          <w:rPr>
            <w:rStyle w:val="a3"/>
            <w:rFonts w:ascii="Times New Roman" w:hAnsi="Times New Roman" w:cs="Times New Roman"/>
            <w:sz w:val="28"/>
            <w:szCs w:val="28"/>
            <w:lang w:val="uk-UA"/>
          </w:rPr>
          <w:t>https://www.oecd.org</w:t>
        </w:r>
      </w:hyperlink>
      <w:r w:rsidRPr="00FC0CBD">
        <w:rPr>
          <w:rFonts w:ascii="Times New Roman" w:hAnsi="Times New Roman" w:cs="Times New Roman"/>
          <w:sz w:val="28"/>
          <w:szCs w:val="28"/>
          <w:lang w:val="uk-UA"/>
        </w:rPr>
        <w:t xml:space="preserve"> (дата звернення: 17.06.2026). </w:t>
      </w:r>
    </w:p>
    <w:p w14:paraId="1713EFED"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UNECE Environmental Assessment Division. – URL: </w:t>
      </w:r>
      <w:hyperlink r:id="rId39" w:tgtFrame="_new" w:history="1">
        <w:r w:rsidRPr="00FC0CBD">
          <w:rPr>
            <w:rStyle w:val="a3"/>
            <w:rFonts w:ascii="Times New Roman" w:hAnsi="Times New Roman" w:cs="Times New Roman"/>
            <w:sz w:val="28"/>
            <w:szCs w:val="28"/>
            <w:lang w:val="uk-UA"/>
          </w:rPr>
          <w:t>https://unece.org</w:t>
        </w:r>
      </w:hyperlink>
      <w:r w:rsidRPr="00FC0CBD">
        <w:rPr>
          <w:rFonts w:ascii="Times New Roman" w:hAnsi="Times New Roman" w:cs="Times New Roman"/>
          <w:sz w:val="28"/>
          <w:szCs w:val="28"/>
          <w:lang w:val="uk-UA"/>
        </w:rPr>
        <w:t xml:space="preserve"> (дата звернення: 17.06.2026). </w:t>
      </w:r>
    </w:p>
    <w:p w14:paraId="72E81656"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UNEP Environmental Governance Reports. – URL: </w:t>
      </w:r>
      <w:hyperlink r:id="rId40" w:tgtFrame="_new" w:history="1">
        <w:r w:rsidRPr="00FC0CBD">
          <w:rPr>
            <w:rStyle w:val="a3"/>
            <w:rFonts w:ascii="Times New Roman" w:hAnsi="Times New Roman" w:cs="Times New Roman"/>
            <w:sz w:val="28"/>
            <w:szCs w:val="28"/>
            <w:lang w:val="uk-UA"/>
          </w:rPr>
          <w:t>https://www.unep.org</w:t>
        </w:r>
      </w:hyperlink>
      <w:r w:rsidRPr="00FC0CBD">
        <w:rPr>
          <w:rFonts w:ascii="Times New Roman" w:hAnsi="Times New Roman" w:cs="Times New Roman"/>
          <w:sz w:val="28"/>
          <w:szCs w:val="28"/>
          <w:lang w:val="uk-UA"/>
        </w:rPr>
        <w:t xml:space="preserve"> (дата звернення: 17.06.2026). </w:t>
      </w:r>
    </w:p>
    <w:p w14:paraId="4CADC6C5"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UNECE Espoo Implementation Reports. – URL: </w:t>
      </w:r>
      <w:hyperlink r:id="rId41" w:tgtFrame="_new" w:history="1">
        <w:r w:rsidRPr="00FC0CBD">
          <w:rPr>
            <w:rStyle w:val="a3"/>
            <w:rFonts w:ascii="Times New Roman" w:hAnsi="Times New Roman" w:cs="Times New Roman"/>
            <w:sz w:val="28"/>
            <w:szCs w:val="28"/>
            <w:lang w:val="uk-UA"/>
          </w:rPr>
          <w:t>https://unece.org</w:t>
        </w:r>
      </w:hyperlink>
      <w:r w:rsidRPr="00FC0CBD">
        <w:rPr>
          <w:rFonts w:ascii="Times New Roman" w:hAnsi="Times New Roman" w:cs="Times New Roman"/>
          <w:sz w:val="28"/>
          <w:szCs w:val="28"/>
          <w:lang w:val="uk-UA"/>
        </w:rPr>
        <w:t xml:space="preserve"> (дата звернення: 17.06.2026). </w:t>
      </w:r>
    </w:p>
    <w:p w14:paraId="41AF5233"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United Nations Treaty Collection. Espoo Convention text. – URL: </w:t>
      </w:r>
      <w:hyperlink r:id="rId42" w:tgtFrame="_new" w:history="1">
        <w:r w:rsidRPr="00FC0CBD">
          <w:rPr>
            <w:rStyle w:val="a3"/>
            <w:rFonts w:ascii="Times New Roman" w:hAnsi="Times New Roman" w:cs="Times New Roman"/>
            <w:sz w:val="28"/>
            <w:szCs w:val="28"/>
            <w:lang w:val="uk-UA"/>
          </w:rPr>
          <w:t>https://treaties.un.org</w:t>
        </w:r>
      </w:hyperlink>
      <w:r w:rsidRPr="00FC0CBD">
        <w:rPr>
          <w:rFonts w:ascii="Times New Roman" w:hAnsi="Times New Roman" w:cs="Times New Roman"/>
          <w:sz w:val="28"/>
          <w:szCs w:val="28"/>
          <w:lang w:val="uk-UA"/>
        </w:rPr>
        <w:t xml:space="preserve"> (дата звернення: 17.06.2026). </w:t>
      </w:r>
    </w:p>
    <w:p w14:paraId="7DF1582C"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UNEP Global Environmental Outlook. – URL: </w:t>
      </w:r>
      <w:hyperlink r:id="rId43" w:tgtFrame="_new" w:history="1">
        <w:r w:rsidRPr="00FC0CBD">
          <w:rPr>
            <w:rStyle w:val="a3"/>
            <w:rFonts w:ascii="Times New Roman" w:hAnsi="Times New Roman" w:cs="Times New Roman"/>
            <w:sz w:val="28"/>
            <w:szCs w:val="28"/>
            <w:lang w:val="uk-UA"/>
          </w:rPr>
          <w:t>https://www.unep.org</w:t>
        </w:r>
      </w:hyperlink>
      <w:r w:rsidRPr="00FC0CBD">
        <w:rPr>
          <w:rFonts w:ascii="Times New Roman" w:hAnsi="Times New Roman" w:cs="Times New Roman"/>
          <w:sz w:val="28"/>
          <w:szCs w:val="28"/>
          <w:lang w:val="uk-UA"/>
        </w:rPr>
        <w:t xml:space="preserve"> (дата звернення: 17.06.2026).</w:t>
      </w:r>
    </w:p>
    <w:p w14:paraId="2ED09489"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World Bank Environmental and Social Framework. – URL: </w:t>
      </w:r>
      <w:hyperlink r:id="rId44" w:tgtFrame="_new" w:history="1">
        <w:r w:rsidRPr="00FC0CBD">
          <w:rPr>
            <w:rStyle w:val="a3"/>
            <w:rFonts w:ascii="Times New Roman" w:hAnsi="Times New Roman" w:cs="Times New Roman"/>
            <w:sz w:val="28"/>
            <w:szCs w:val="28"/>
            <w:lang w:val="uk-UA"/>
          </w:rPr>
          <w:t>https://www.worldbank.org</w:t>
        </w:r>
      </w:hyperlink>
      <w:r w:rsidRPr="00FC0CBD">
        <w:rPr>
          <w:rFonts w:ascii="Times New Roman" w:hAnsi="Times New Roman" w:cs="Times New Roman"/>
          <w:sz w:val="28"/>
          <w:szCs w:val="28"/>
          <w:lang w:val="uk-UA"/>
        </w:rPr>
        <w:t xml:space="preserve"> (дата звернення: 17.06.2026). </w:t>
      </w:r>
    </w:p>
    <w:p w14:paraId="12DF0BB0"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World Health Organization. Environmental Health. – URL: </w:t>
      </w:r>
      <w:hyperlink r:id="rId45" w:tgtFrame="_new" w:history="1">
        <w:r w:rsidRPr="00FC0CBD">
          <w:rPr>
            <w:rStyle w:val="a3"/>
            <w:rFonts w:ascii="Times New Roman" w:hAnsi="Times New Roman" w:cs="Times New Roman"/>
            <w:sz w:val="28"/>
            <w:szCs w:val="28"/>
            <w:lang w:val="uk-UA"/>
          </w:rPr>
          <w:t>https://www.who.int</w:t>
        </w:r>
      </w:hyperlink>
      <w:r w:rsidRPr="00FC0CBD">
        <w:rPr>
          <w:rFonts w:ascii="Times New Roman" w:hAnsi="Times New Roman" w:cs="Times New Roman"/>
          <w:sz w:val="28"/>
          <w:szCs w:val="28"/>
          <w:lang w:val="uk-UA"/>
        </w:rPr>
        <w:t xml:space="preserve"> (дата звернення: 17.06.2026). </w:t>
      </w:r>
    </w:p>
    <w:p w14:paraId="11D01018"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World Resources Institute. Environmental governance studies. – URL: </w:t>
      </w:r>
      <w:hyperlink r:id="rId46" w:tgtFrame="_new" w:history="1">
        <w:r w:rsidRPr="00FC0CBD">
          <w:rPr>
            <w:rStyle w:val="a3"/>
            <w:rFonts w:ascii="Times New Roman" w:hAnsi="Times New Roman" w:cs="Times New Roman"/>
            <w:sz w:val="28"/>
            <w:szCs w:val="28"/>
            <w:lang w:val="uk-UA"/>
          </w:rPr>
          <w:t>https://www.wri.org</w:t>
        </w:r>
      </w:hyperlink>
      <w:r w:rsidRPr="00FC0CBD">
        <w:rPr>
          <w:rFonts w:ascii="Times New Roman" w:hAnsi="Times New Roman" w:cs="Times New Roman"/>
          <w:sz w:val="28"/>
          <w:szCs w:val="28"/>
          <w:lang w:val="uk-UA"/>
        </w:rPr>
        <w:t xml:space="preserve"> (дата звернення: 17.06.2026). </w:t>
      </w:r>
    </w:p>
    <w:p w14:paraId="76062230" w14:textId="77777777"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World Bank Environmental Assessment Sourcebook. – URL: </w:t>
      </w:r>
      <w:hyperlink r:id="rId47" w:tgtFrame="_new" w:history="1">
        <w:r w:rsidRPr="00FC0CBD">
          <w:rPr>
            <w:rStyle w:val="a3"/>
            <w:rFonts w:ascii="Times New Roman" w:hAnsi="Times New Roman" w:cs="Times New Roman"/>
            <w:sz w:val="28"/>
            <w:szCs w:val="28"/>
            <w:lang w:val="uk-UA"/>
          </w:rPr>
          <w:t>https://documents.worldbank.org</w:t>
        </w:r>
      </w:hyperlink>
      <w:r w:rsidRPr="00FC0CBD">
        <w:rPr>
          <w:rFonts w:ascii="Times New Roman" w:hAnsi="Times New Roman" w:cs="Times New Roman"/>
          <w:sz w:val="28"/>
          <w:szCs w:val="28"/>
          <w:lang w:val="uk-UA"/>
        </w:rPr>
        <w:t xml:space="preserve"> (дата звернення: 17.06.2026). </w:t>
      </w:r>
    </w:p>
    <w:p w14:paraId="645A717D" w14:textId="528C7646" w:rsidR="00E62C75" w:rsidRPr="00FC0CBD" w:rsidRDefault="00000000">
      <w:pPr>
        <w:numPr>
          <w:ilvl w:val="0"/>
          <w:numId w:val="3"/>
        </w:numPr>
        <w:spacing w:line="360" w:lineRule="auto"/>
        <w:ind w:firstLineChars="214" w:firstLine="599"/>
        <w:jc w:val="both"/>
        <w:rPr>
          <w:rFonts w:ascii="Times New Roman" w:hAnsi="Times New Roman" w:cs="Times New Roman"/>
          <w:sz w:val="28"/>
          <w:szCs w:val="28"/>
          <w:lang w:val="uk-UA"/>
        </w:rPr>
      </w:pPr>
      <w:r w:rsidRPr="00FC0CBD">
        <w:rPr>
          <w:rFonts w:ascii="Times New Roman" w:hAnsi="Times New Roman" w:cs="Times New Roman"/>
          <w:sz w:val="28"/>
          <w:szCs w:val="28"/>
          <w:lang w:val="uk-UA"/>
        </w:rPr>
        <w:t xml:space="preserve">WWF International. Environmental reports. – URL: </w:t>
      </w:r>
      <w:hyperlink r:id="rId48" w:tgtFrame="_new" w:history="1">
        <w:r w:rsidRPr="00FC0CBD">
          <w:rPr>
            <w:rStyle w:val="a3"/>
            <w:rFonts w:ascii="Times New Roman" w:hAnsi="Times New Roman" w:cs="Times New Roman"/>
            <w:sz w:val="28"/>
            <w:szCs w:val="28"/>
            <w:lang w:val="uk-UA"/>
          </w:rPr>
          <w:t>https://www.worldwildlife.org</w:t>
        </w:r>
      </w:hyperlink>
      <w:r w:rsidRPr="00FC0CBD">
        <w:rPr>
          <w:rFonts w:ascii="Times New Roman" w:hAnsi="Times New Roman" w:cs="Times New Roman"/>
          <w:sz w:val="28"/>
          <w:szCs w:val="28"/>
          <w:lang w:val="uk-UA"/>
        </w:rPr>
        <w:t xml:space="preserve"> (дата звернення: 17.06.2026). </w:t>
      </w:r>
      <w:r w:rsidR="001D066E">
        <w:rPr>
          <w:rFonts w:ascii="Times New Roman" w:hAnsi="Times New Roman" w:cs="Times New Roman"/>
          <w:sz w:val="28"/>
          <w:szCs w:val="28"/>
          <w:lang w:val="uk-UA"/>
        </w:rPr>
        <w:t xml:space="preserve"> </w:t>
      </w:r>
    </w:p>
    <w:p w14:paraId="7CC0B188" w14:textId="77777777" w:rsidR="00E62C75" w:rsidRPr="00FC0CBD" w:rsidRDefault="00E62C75">
      <w:pPr>
        <w:spacing w:line="360" w:lineRule="auto"/>
        <w:jc w:val="both"/>
        <w:rPr>
          <w:rFonts w:ascii="Times New Roman" w:hAnsi="Times New Roman" w:cs="Times New Roman"/>
          <w:sz w:val="28"/>
          <w:szCs w:val="28"/>
          <w:lang w:val="uk-UA"/>
        </w:rPr>
      </w:pPr>
    </w:p>
    <w:p w14:paraId="0767A88B" w14:textId="77777777" w:rsidR="00E62C75" w:rsidRPr="00FC0CBD" w:rsidRDefault="00E62C75">
      <w:pPr>
        <w:spacing w:line="360" w:lineRule="auto"/>
        <w:jc w:val="both"/>
        <w:rPr>
          <w:rFonts w:ascii="Times New Roman" w:hAnsi="Times New Roman" w:cs="Times New Roman"/>
          <w:sz w:val="28"/>
          <w:szCs w:val="28"/>
          <w:lang w:val="uk-UA"/>
        </w:rPr>
      </w:pPr>
    </w:p>
    <w:p w14:paraId="2EB992F8" w14:textId="77777777" w:rsidR="00E62C75" w:rsidRPr="00FC0CBD" w:rsidRDefault="00E62C75">
      <w:pPr>
        <w:spacing w:line="360" w:lineRule="auto"/>
        <w:jc w:val="both"/>
        <w:rPr>
          <w:rFonts w:ascii="Times New Roman" w:hAnsi="Times New Roman" w:cs="Times New Roman"/>
          <w:sz w:val="28"/>
          <w:szCs w:val="28"/>
          <w:lang w:val="uk-UA"/>
        </w:rPr>
      </w:pPr>
    </w:p>
    <w:p w14:paraId="20480FF5" w14:textId="77777777" w:rsidR="00E62C75" w:rsidRPr="00FC0CBD" w:rsidRDefault="00E62C75">
      <w:pPr>
        <w:spacing w:line="360" w:lineRule="auto"/>
        <w:jc w:val="both"/>
        <w:rPr>
          <w:rFonts w:ascii="Times New Roman" w:hAnsi="Times New Roman" w:cs="Times New Roman"/>
          <w:sz w:val="28"/>
          <w:szCs w:val="28"/>
          <w:lang w:val="uk-UA"/>
        </w:rPr>
      </w:pPr>
    </w:p>
    <w:p w14:paraId="0798F802" w14:textId="77777777" w:rsidR="00E62C75" w:rsidRPr="00FC0CBD" w:rsidRDefault="00000000">
      <w:pPr>
        <w:spacing w:line="360" w:lineRule="auto"/>
        <w:jc w:val="center"/>
        <w:rPr>
          <w:rFonts w:ascii="Times New Roman" w:hAnsi="Times New Roman" w:cs="Times New Roman"/>
          <w:b/>
          <w:bCs/>
          <w:sz w:val="28"/>
          <w:szCs w:val="28"/>
          <w:lang w:val="uk-UA"/>
        </w:rPr>
      </w:pPr>
      <w:r w:rsidRPr="00FC0CBD">
        <w:rPr>
          <w:rFonts w:ascii="Times New Roman" w:hAnsi="Times New Roman" w:cs="Times New Roman"/>
          <w:b/>
          <w:bCs/>
          <w:sz w:val="28"/>
          <w:szCs w:val="28"/>
          <w:lang w:val="uk-UA"/>
        </w:rPr>
        <w:lastRenderedPageBreak/>
        <w:t>ДОДАТКИ</w:t>
      </w:r>
    </w:p>
    <w:p w14:paraId="4B81AEBE" w14:textId="77777777" w:rsidR="00E62C75" w:rsidRPr="00F32A61" w:rsidRDefault="00000000">
      <w:pPr>
        <w:wordWrap w:val="0"/>
        <w:spacing w:line="360" w:lineRule="auto"/>
        <w:jc w:val="right"/>
        <w:rPr>
          <w:rFonts w:ascii="Times New Roman" w:hAnsi="Times New Roman" w:cs="Times New Roman"/>
          <w:b/>
          <w:bCs/>
          <w:sz w:val="24"/>
          <w:szCs w:val="24"/>
          <w:lang w:val="uk-UA"/>
        </w:rPr>
      </w:pPr>
      <w:r w:rsidRPr="00F32A61">
        <w:rPr>
          <w:rFonts w:ascii="Times New Roman" w:hAnsi="Times New Roman" w:cs="Times New Roman"/>
          <w:b/>
          <w:bCs/>
          <w:sz w:val="24"/>
          <w:szCs w:val="24"/>
          <w:lang w:val="uk-UA"/>
        </w:rPr>
        <w:t>Додаток А</w:t>
      </w:r>
    </w:p>
    <w:p w14:paraId="49198EC8" w14:textId="12F08194" w:rsidR="00E62C75" w:rsidRPr="00F32A61" w:rsidRDefault="00000000" w:rsidP="00F32A61">
      <w:pPr>
        <w:pStyle w:val="a8"/>
        <w:spacing w:beforeAutospacing="0" w:afterAutospacing="0"/>
        <w:ind w:firstLineChars="250" w:firstLine="602"/>
        <w:jc w:val="center"/>
        <w:rPr>
          <w:b/>
          <w:bCs/>
          <w:lang w:val="uk-UA"/>
        </w:rPr>
      </w:pPr>
      <w:r w:rsidRPr="00F32A61">
        <w:rPr>
          <w:b/>
          <w:bCs/>
          <w:lang w:val="uk-UA"/>
        </w:rPr>
        <w:t>Основні етапи проведення транскордонної оцінки впливу на довкілля відповідно до Конвенції Еспо</w:t>
      </w:r>
      <w:r w:rsidR="00F32A61" w:rsidRPr="00F32A61">
        <w:rPr>
          <w:b/>
          <w:bCs/>
          <w:lang w:val="uk-UA"/>
        </w:rPr>
        <w:t xml:space="preserve"> (складено автором на основі Конвенції про оцінку впливу на навколишнє середовище у транскордонному контексті (Конвенція Еспо) [20])</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2717"/>
        <w:gridCol w:w="3682"/>
        <w:gridCol w:w="3230"/>
      </w:tblGrid>
      <w:tr w:rsidR="00E62C75" w:rsidRPr="00F32A61" w14:paraId="45469B36" w14:textId="77777777">
        <w:tc>
          <w:tcPr>
            <w:tcW w:w="0" w:type="auto"/>
            <w:tcBorders>
              <w:tl2br w:val="nil"/>
              <w:tr2bl w:val="nil"/>
            </w:tcBorders>
            <w:shd w:val="clear" w:color="auto" w:fill="auto"/>
            <w:vAlign w:val="center"/>
          </w:tcPr>
          <w:p w14:paraId="0A89D8C2"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Етап</w:t>
            </w:r>
          </w:p>
        </w:tc>
        <w:tc>
          <w:tcPr>
            <w:tcW w:w="0" w:type="auto"/>
            <w:tcBorders>
              <w:tl2br w:val="nil"/>
              <w:tr2bl w:val="nil"/>
            </w:tcBorders>
            <w:shd w:val="clear" w:color="auto" w:fill="auto"/>
            <w:vAlign w:val="center"/>
          </w:tcPr>
          <w:p w14:paraId="654D4FEF"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Зміст етапу</w:t>
            </w:r>
          </w:p>
        </w:tc>
        <w:tc>
          <w:tcPr>
            <w:tcW w:w="0" w:type="auto"/>
            <w:tcBorders>
              <w:tl2br w:val="nil"/>
              <w:tr2bl w:val="nil"/>
            </w:tcBorders>
            <w:shd w:val="clear" w:color="auto" w:fill="auto"/>
            <w:vAlign w:val="center"/>
          </w:tcPr>
          <w:p w14:paraId="62006C46"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Основний результат</w:t>
            </w:r>
          </w:p>
        </w:tc>
      </w:tr>
      <w:tr w:rsidR="00E62C75" w:rsidRPr="00E432DD" w14:paraId="55EC7A24" w14:textId="77777777">
        <w:tc>
          <w:tcPr>
            <w:tcW w:w="0" w:type="auto"/>
            <w:tcBorders>
              <w:tl2br w:val="nil"/>
              <w:tr2bl w:val="nil"/>
            </w:tcBorders>
            <w:shd w:val="clear" w:color="auto" w:fill="auto"/>
            <w:vAlign w:val="center"/>
          </w:tcPr>
          <w:p w14:paraId="40BD420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1. Визначення можливого транскордонного впливу</w:t>
            </w:r>
          </w:p>
        </w:tc>
        <w:tc>
          <w:tcPr>
            <w:tcW w:w="0" w:type="auto"/>
            <w:tcBorders>
              <w:tl2br w:val="nil"/>
              <w:tr2bl w:val="nil"/>
            </w:tcBorders>
            <w:shd w:val="clear" w:color="auto" w:fill="auto"/>
            <w:vAlign w:val="center"/>
          </w:tcPr>
          <w:p w14:paraId="379AF776"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Аналіз планованої діяльності та встановлення ймовірності впливу на територію іншої держави</w:t>
            </w:r>
          </w:p>
        </w:tc>
        <w:tc>
          <w:tcPr>
            <w:tcW w:w="0" w:type="auto"/>
            <w:tcBorders>
              <w:tl2br w:val="nil"/>
              <w:tr2bl w:val="nil"/>
            </w:tcBorders>
            <w:shd w:val="clear" w:color="auto" w:fill="auto"/>
            <w:vAlign w:val="center"/>
          </w:tcPr>
          <w:p w14:paraId="4F143971"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Прийняття рішення про необхідність транскордонної процедури</w:t>
            </w:r>
          </w:p>
        </w:tc>
      </w:tr>
      <w:tr w:rsidR="00E62C75" w:rsidRPr="00F32A61" w14:paraId="3026A143" w14:textId="77777777">
        <w:tc>
          <w:tcPr>
            <w:tcW w:w="0" w:type="auto"/>
            <w:tcBorders>
              <w:tl2br w:val="nil"/>
              <w:tr2bl w:val="nil"/>
            </w:tcBorders>
            <w:shd w:val="clear" w:color="auto" w:fill="auto"/>
            <w:vAlign w:val="center"/>
          </w:tcPr>
          <w:p w14:paraId="6C16ABF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2. Повідомлення зачепленої сторони</w:t>
            </w:r>
          </w:p>
        </w:tc>
        <w:tc>
          <w:tcPr>
            <w:tcW w:w="0" w:type="auto"/>
            <w:tcBorders>
              <w:tl2br w:val="nil"/>
              <w:tr2bl w:val="nil"/>
            </w:tcBorders>
            <w:shd w:val="clear" w:color="auto" w:fill="auto"/>
            <w:vAlign w:val="center"/>
          </w:tcPr>
          <w:p w14:paraId="3CD00A5B"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Надсилання офіційного повідомлення державі, яка може зазнати впливу</w:t>
            </w:r>
          </w:p>
        </w:tc>
        <w:tc>
          <w:tcPr>
            <w:tcW w:w="0" w:type="auto"/>
            <w:tcBorders>
              <w:tl2br w:val="nil"/>
              <w:tr2bl w:val="nil"/>
            </w:tcBorders>
            <w:shd w:val="clear" w:color="auto" w:fill="auto"/>
            <w:vAlign w:val="center"/>
          </w:tcPr>
          <w:p w14:paraId="142A26FE"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Інформування потенційно зачепленої держави</w:t>
            </w:r>
          </w:p>
        </w:tc>
      </w:tr>
      <w:tr w:rsidR="00E62C75" w:rsidRPr="00F32A61" w14:paraId="6883B1D4" w14:textId="77777777">
        <w:tc>
          <w:tcPr>
            <w:tcW w:w="0" w:type="auto"/>
            <w:tcBorders>
              <w:tl2br w:val="nil"/>
              <w:tr2bl w:val="nil"/>
            </w:tcBorders>
            <w:shd w:val="clear" w:color="auto" w:fill="auto"/>
            <w:vAlign w:val="center"/>
          </w:tcPr>
          <w:p w14:paraId="550549A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3. Підтвердження участі</w:t>
            </w:r>
          </w:p>
        </w:tc>
        <w:tc>
          <w:tcPr>
            <w:tcW w:w="0" w:type="auto"/>
            <w:tcBorders>
              <w:tl2br w:val="nil"/>
              <w:tr2bl w:val="nil"/>
            </w:tcBorders>
            <w:shd w:val="clear" w:color="auto" w:fill="auto"/>
            <w:vAlign w:val="center"/>
          </w:tcPr>
          <w:p w14:paraId="46E75BFE"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Отримання відповіді щодо участі у процедурі ОВД</w:t>
            </w:r>
          </w:p>
        </w:tc>
        <w:tc>
          <w:tcPr>
            <w:tcW w:w="0" w:type="auto"/>
            <w:tcBorders>
              <w:tl2br w:val="nil"/>
              <w:tr2bl w:val="nil"/>
            </w:tcBorders>
            <w:shd w:val="clear" w:color="auto" w:fill="auto"/>
            <w:vAlign w:val="center"/>
          </w:tcPr>
          <w:p w14:paraId="34C0EE5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Формування кола учасників процедури</w:t>
            </w:r>
          </w:p>
        </w:tc>
      </w:tr>
      <w:tr w:rsidR="00E62C75" w:rsidRPr="00E432DD" w14:paraId="60243E66" w14:textId="77777777">
        <w:tc>
          <w:tcPr>
            <w:tcW w:w="0" w:type="auto"/>
            <w:tcBorders>
              <w:tl2br w:val="nil"/>
              <w:tr2bl w:val="nil"/>
            </w:tcBorders>
            <w:shd w:val="clear" w:color="auto" w:fill="auto"/>
            <w:vAlign w:val="center"/>
          </w:tcPr>
          <w:p w14:paraId="1F49FD64"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4. Підготовка звіту з ОВД</w:t>
            </w:r>
          </w:p>
        </w:tc>
        <w:tc>
          <w:tcPr>
            <w:tcW w:w="0" w:type="auto"/>
            <w:tcBorders>
              <w:tl2br w:val="nil"/>
              <w:tr2bl w:val="nil"/>
            </w:tcBorders>
            <w:shd w:val="clear" w:color="auto" w:fill="auto"/>
            <w:vAlign w:val="center"/>
          </w:tcPr>
          <w:p w14:paraId="748AA3F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Проведення досліджень та оцінка можливих екологічних наслідків</w:t>
            </w:r>
          </w:p>
        </w:tc>
        <w:tc>
          <w:tcPr>
            <w:tcW w:w="0" w:type="auto"/>
            <w:tcBorders>
              <w:tl2br w:val="nil"/>
              <w:tr2bl w:val="nil"/>
            </w:tcBorders>
            <w:shd w:val="clear" w:color="auto" w:fill="auto"/>
            <w:vAlign w:val="center"/>
          </w:tcPr>
          <w:p w14:paraId="05C1353E"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Формування звіту з оцінки впливу на довкілля</w:t>
            </w:r>
          </w:p>
        </w:tc>
      </w:tr>
      <w:tr w:rsidR="00E62C75" w:rsidRPr="00F32A61" w14:paraId="5E3E02BF" w14:textId="77777777">
        <w:tc>
          <w:tcPr>
            <w:tcW w:w="0" w:type="auto"/>
            <w:tcBorders>
              <w:tl2br w:val="nil"/>
              <w:tr2bl w:val="nil"/>
            </w:tcBorders>
            <w:shd w:val="clear" w:color="auto" w:fill="auto"/>
            <w:vAlign w:val="center"/>
          </w:tcPr>
          <w:p w14:paraId="697AB5B4"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5. Передача документації</w:t>
            </w:r>
          </w:p>
        </w:tc>
        <w:tc>
          <w:tcPr>
            <w:tcW w:w="0" w:type="auto"/>
            <w:tcBorders>
              <w:tl2br w:val="nil"/>
              <w:tr2bl w:val="nil"/>
            </w:tcBorders>
            <w:shd w:val="clear" w:color="auto" w:fill="auto"/>
            <w:vAlign w:val="center"/>
          </w:tcPr>
          <w:p w14:paraId="2399B4C0"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Надання звіту та супровідних матеріалів зачепленій державі</w:t>
            </w:r>
          </w:p>
        </w:tc>
        <w:tc>
          <w:tcPr>
            <w:tcW w:w="0" w:type="auto"/>
            <w:tcBorders>
              <w:tl2br w:val="nil"/>
              <w:tr2bl w:val="nil"/>
            </w:tcBorders>
            <w:shd w:val="clear" w:color="auto" w:fill="auto"/>
            <w:vAlign w:val="center"/>
          </w:tcPr>
          <w:p w14:paraId="5AB7F4FA"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Забезпечення доступу до інформації</w:t>
            </w:r>
          </w:p>
        </w:tc>
      </w:tr>
      <w:tr w:rsidR="00E62C75" w:rsidRPr="00F32A61" w14:paraId="1E17350B" w14:textId="77777777">
        <w:tc>
          <w:tcPr>
            <w:tcW w:w="0" w:type="auto"/>
            <w:tcBorders>
              <w:tl2br w:val="nil"/>
              <w:tr2bl w:val="nil"/>
            </w:tcBorders>
            <w:shd w:val="clear" w:color="auto" w:fill="auto"/>
            <w:vAlign w:val="center"/>
          </w:tcPr>
          <w:p w14:paraId="0BFC30C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6. Громадські обговорення</w:t>
            </w:r>
          </w:p>
        </w:tc>
        <w:tc>
          <w:tcPr>
            <w:tcW w:w="0" w:type="auto"/>
            <w:tcBorders>
              <w:tl2br w:val="nil"/>
              <w:tr2bl w:val="nil"/>
            </w:tcBorders>
            <w:shd w:val="clear" w:color="auto" w:fill="auto"/>
            <w:vAlign w:val="center"/>
          </w:tcPr>
          <w:p w14:paraId="64E72E0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Залучення громадськості обох держав до обговорення проєкту</w:t>
            </w:r>
          </w:p>
        </w:tc>
        <w:tc>
          <w:tcPr>
            <w:tcW w:w="0" w:type="auto"/>
            <w:tcBorders>
              <w:tl2br w:val="nil"/>
              <w:tr2bl w:val="nil"/>
            </w:tcBorders>
            <w:shd w:val="clear" w:color="auto" w:fill="auto"/>
            <w:vAlign w:val="center"/>
          </w:tcPr>
          <w:p w14:paraId="13DCF106"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Отримання пропозицій і зауважень</w:t>
            </w:r>
          </w:p>
        </w:tc>
      </w:tr>
      <w:tr w:rsidR="00E62C75" w:rsidRPr="00F32A61" w14:paraId="636CDC92" w14:textId="77777777">
        <w:tc>
          <w:tcPr>
            <w:tcW w:w="0" w:type="auto"/>
            <w:tcBorders>
              <w:tl2br w:val="nil"/>
              <w:tr2bl w:val="nil"/>
            </w:tcBorders>
            <w:shd w:val="clear" w:color="auto" w:fill="auto"/>
            <w:vAlign w:val="center"/>
          </w:tcPr>
          <w:p w14:paraId="7B5AB3DF"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7. Міждержавні консультації</w:t>
            </w:r>
          </w:p>
        </w:tc>
        <w:tc>
          <w:tcPr>
            <w:tcW w:w="0" w:type="auto"/>
            <w:tcBorders>
              <w:tl2br w:val="nil"/>
              <w:tr2bl w:val="nil"/>
            </w:tcBorders>
            <w:shd w:val="clear" w:color="auto" w:fill="auto"/>
            <w:vAlign w:val="center"/>
          </w:tcPr>
          <w:p w14:paraId="61B359C9"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Проведення переговорів щодо можливих екологічних наслідків та шляхів їх мінімізації</w:t>
            </w:r>
          </w:p>
        </w:tc>
        <w:tc>
          <w:tcPr>
            <w:tcW w:w="0" w:type="auto"/>
            <w:tcBorders>
              <w:tl2br w:val="nil"/>
              <w:tr2bl w:val="nil"/>
            </w:tcBorders>
            <w:shd w:val="clear" w:color="auto" w:fill="auto"/>
            <w:vAlign w:val="center"/>
          </w:tcPr>
          <w:p w14:paraId="388863E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Узгодження позицій сторін</w:t>
            </w:r>
          </w:p>
        </w:tc>
      </w:tr>
      <w:tr w:rsidR="00E62C75" w:rsidRPr="00E432DD" w14:paraId="39B2702C" w14:textId="77777777">
        <w:tc>
          <w:tcPr>
            <w:tcW w:w="0" w:type="auto"/>
            <w:tcBorders>
              <w:tl2br w:val="nil"/>
              <w:tr2bl w:val="nil"/>
            </w:tcBorders>
            <w:shd w:val="clear" w:color="auto" w:fill="auto"/>
            <w:vAlign w:val="center"/>
          </w:tcPr>
          <w:p w14:paraId="6256B676"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8. Прийняття рішення</w:t>
            </w:r>
          </w:p>
        </w:tc>
        <w:tc>
          <w:tcPr>
            <w:tcW w:w="0" w:type="auto"/>
            <w:tcBorders>
              <w:tl2br w:val="nil"/>
              <w:tr2bl w:val="nil"/>
            </w:tcBorders>
            <w:shd w:val="clear" w:color="auto" w:fill="auto"/>
            <w:vAlign w:val="center"/>
          </w:tcPr>
          <w:p w14:paraId="33A2BC8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Урахування результатів консультацій та громадських обговорень</w:t>
            </w:r>
          </w:p>
        </w:tc>
        <w:tc>
          <w:tcPr>
            <w:tcW w:w="0" w:type="auto"/>
            <w:tcBorders>
              <w:tl2br w:val="nil"/>
              <w:tr2bl w:val="nil"/>
            </w:tcBorders>
            <w:shd w:val="clear" w:color="auto" w:fill="auto"/>
            <w:vAlign w:val="center"/>
          </w:tcPr>
          <w:p w14:paraId="0526B9CC"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Прийняття остаточного рішення щодо проєкту</w:t>
            </w:r>
          </w:p>
        </w:tc>
      </w:tr>
      <w:tr w:rsidR="00E62C75" w:rsidRPr="00F32A61" w14:paraId="1EC7CCF2" w14:textId="77777777">
        <w:tc>
          <w:tcPr>
            <w:tcW w:w="0" w:type="auto"/>
            <w:tcBorders>
              <w:tl2br w:val="nil"/>
              <w:tr2bl w:val="nil"/>
            </w:tcBorders>
            <w:shd w:val="clear" w:color="auto" w:fill="auto"/>
            <w:vAlign w:val="center"/>
          </w:tcPr>
          <w:p w14:paraId="0D86102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9. Інформування про рішення</w:t>
            </w:r>
          </w:p>
        </w:tc>
        <w:tc>
          <w:tcPr>
            <w:tcW w:w="0" w:type="auto"/>
            <w:tcBorders>
              <w:tl2br w:val="nil"/>
              <w:tr2bl w:val="nil"/>
            </w:tcBorders>
            <w:shd w:val="clear" w:color="auto" w:fill="auto"/>
            <w:vAlign w:val="center"/>
          </w:tcPr>
          <w:p w14:paraId="6B260BD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Повідомлення зачепленої держави про прийняте рішення</w:t>
            </w:r>
          </w:p>
        </w:tc>
        <w:tc>
          <w:tcPr>
            <w:tcW w:w="0" w:type="auto"/>
            <w:tcBorders>
              <w:tl2br w:val="nil"/>
              <w:tr2bl w:val="nil"/>
            </w:tcBorders>
            <w:shd w:val="clear" w:color="auto" w:fill="auto"/>
            <w:vAlign w:val="center"/>
          </w:tcPr>
          <w:p w14:paraId="2DA14459"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Забезпечення прозорості процедури</w:t>
            </w:r>
          </w:p>
        </w:tc>
      </w:tr>
      <w:tr w:rsidR="00E62C75" w:rsidRPr="00F32A61" w14:paraId="63115E1A" w14:textId="77777777">
        <w:tc>
          <w:tcPr>
            <w:tcW w:w="0" w:type="auto"/>
            <w:tcBorders>
              <w:tl2br w:val="nil"/>
              <w:tr2bl w:val="nil"/>
            </w:tcBorders>
            <w:shd w:val="clear" w:color="auto" w:fill="auto"/>
            <w:vAlign w:val="center"/>
          </w:tcPr>
          <w:p w14:paraId="720E25BF"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10. Післяпроєктний моніторинг</w:t>
            </w:r>
          </w:p>
        </w:tc>
        <w:tc>
          <w:tcPr>
            <w:tcW w:w="0" w:type="auto"/>
            <w:tcBorders>
              <w:tl2br w:val="nil"/>
              <w:tr2bl w:val="nil"/>
            </w:tcBorders>
            <w:shd w:val="clear" w:color="auto" w:fill="auto"/>
            <w:vAlign w:val="center"/>
          </w:tcPr>
          <w:p w14:paraId="23CAF551"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Контроль фактичного впливу діяльності після її реалізації</w:t>
            </w:r>
          </w:p>
        </w:tc>
        <w:tc>
          <w:tcPr>
            <w:tcW w:w="0" w:type="auto"/>
            <w:tcBorders>
              <w:tl2br w:val="nil"/>
              <w:tr2bl w:val="nil"/>
            </w:tcBorders>
            <w:shd w:val="clear" w:color="auto" w:fill="auto"/>
            <w:vAlign w:val="center"/>
          </w:tcPr>
          <w:p w14:paraId="3C31F1AD"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Оцінка ефективності природоохоронних заходів</w:t>
            </w:r>
          </w:p>
        </w:tc>
      </w:tr>
    </w:tbl>
    <w:p w14:paraId="29C3B0DD" w14:textId="1054D582" w:rsidR="00E62C75" w:rsidRPr="00F32A61" w:rsidRDefault="00E62C75" w:rsidP="00F32A61">
      <w:pPr>
        <w:pStyle w:val="a8"/>
        <w:spacing w:beforeAutospacing="0" w:afterAutospacing="0" w:line="360" w:lineRule="auto"/>
        <w:jc w:val="both"/>
        <w:rPr>
          <w:i/>
          <w:iCs/>
          <w:lang w:val="uk-UA"/>
        </w:rPr>
      </w:pPr>
    </w:p>
    <w:p w14:paraId="617A61AD" w14:textId="77777777" w:rsidR="00E62C75" w:rsidRPr="00F32A61" w:rsidRDefault="00000000">
      <w:pPr>
        <w:pStyle w:val="a8"/>
        <w:spacing w:beforeAutospacing="0" w:afterAutospacing="0" w:line="360" w:lineRule="auto"/>
        <w:ind w:firstLineChars="250" w:firstLine="602"/>
        <w:jc w:val="right"/>
        <w:rPr>
          <w:b/>
          <w:bCs/>
          <w:lang w:val="uk-UA"/>
        </w:rPr>
      </w:pPr>
      <w:r w:rsidRPr="00F32A61">
        <w:rPr>
          <w:b/>
          <w:bCs/>
          <w:lang w:val="uk-UA"/>
        </w:rPr>
        <w:t>Додаток Б</w:t>
      </w:r>
    </w:p>
    <w:p w14:paraId="2F0202F0" w14:textId="40C6C9ED" w:rsidR="00E62C75" w:rsidRPr="00F32A61" w:rsidRDefault="00000000" w:rsidP="00F32A61">
      <w:pPr>
        <w:pStyle w:val="a8"/>
        <w:spacing w:beforeAutospacing="0" w:afterAutospacing="0"/>
        <w:ind w:firstLineChars="250" w:firstLine="602"/>
        <w:jc w:val="center"/>
        <w:rPr>
          <w:b/>
          <w:bCs/>
          <w:lang w:val="uk-UA"/>
        </w:rPr>
      </w:pPr>
      <w:r w:rsidRPr="00F32A61">
        <w:rPr>
          <w:b/>
          <w:bCs/>
          <w:lang w:val="uk-UA"/>
        </w:rPr>
        <w:t>Перелік видів планованої діяльності, що підлягають оцінці впливу на довкілля в Україні</w:t>
      </w:r>
      <w:r w:rsidR="00F32A61" w:rsidRPr="00F32A61">
        <w:rPr>
          <w:b/>
          <w:bCs/>
          <w:lang w:val="uk-UA"/>
        </w:rPr>
        <w:t xml:space="preserve"> (складено автором на основі Закону України «Про оцінку впливу на довкілля»)</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1992"/>
        <w:gridCol w:w="4250"/>
        <w:gridCol w:w="3387"/>
      </w:tblGrid>
      <w:tr w:rsidR="00E62C75" w:rsidRPr="00F32A61" w14:paraId="5C2F9791" w14:textId="77777777">
        <w:tc>
          <w:tcPr>
            <w:tcW w:w="0" w:type="auto"/>
            <w:tcBorders>
              <w:tl2br w:val="nil"/>
              <w:tr2bl w:val="nil"/>
            </w:tcBorders>
            <w:shd w:val="clear" w:color="auto" w:fill="auto"/>
            <w:vAlign w:val="center"/>
          </w:tcPr>
          <w:p w14:paraId="7B3789E6" w14:textId="77777777" w:rsidR="00E62C75" w:rsidRPr="00F32A61" w:rsidRDefault="00000000">
            <w:pPr>
              <w:jc w:val="center"/>
              <w:rPr>
                <w:rFonts w:ascii="Times New Roman" w:hAnsi="Times New Roman" w:cs="Times New Roman"/>
                <w:b/>
                <w:bCs/>
                <w:sz w:val="24"/>
                <w:szCs w:val="24"/>
                <w:lang w:val="uk-UA"/>
              </w:rPr>
            </w:pPr>
            <w:bookmarkStart w:id="1" w:name="_Hlk232793076"/>
            <w:r w:rsidRPr="00F32A61">
              <w:rPr>
                <w:rFonts w:ascii="Times New Roman" w:eastAsia="SimSun" w:hAnsi="Times New Roman" w:cs="Times New Roman"/>
                <w:b/>
                <w:bCs/>
                <w:sz w:val="24"/>
                <w:szCs w:val="24"/>
                <w:lang w:val="uk-UA" w:bidi="ar"/>
              </w:rPr>
              <w:t>Категорія діяльності</w:t>
            </w:r>
          </w:p>
        </w:tc>
        <w:tc>
          <w:tcPr>
            <w:tcW w:w="0" w:type="auto"/>
            <w:tcBorders>
              <w:tl2br w:val="nil"/>
              <w:tr2bl w:val="nil"/>
            </w:tcBorders>
            <w:shd w:val="clear" w:color="auto" w:fill="auto"/>
            <w:vAlign w:val="center"/>
          </w:tcPr>
          <w:p w14:paraId="1CB23F28"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Приклади об’єктів та робіт</w:t>
            </w:r>
          </w:p>
        </w:tc>
        <w:tc>
          <w:tcPr>
            <w:tcW w:w="0" w:type="auto"/>
            <w:tcBorders>
              <w:tl2br w:val="nil"/>
              <w:tr2bl w:val="nil"/>
            </w:tcBorders>
            <w:shd w:val="clear" w:color="auto" w:fill="auto"/>
            <w:vAlign w:val="center"/>
          </w:tcPr>
          <w:p w14:paraId="7D2DAC15" w14:textId="77777777" w:rsidR="00E62C75" w:rsidRPr="00F32A61" w:rsidRDefault="00000000">
            <w:pPr>
              <w:jc w:val="center"/>
              <w:rPr>
                <w:rFonts w:ascii="Times New Roman" w:hAnsi="Times New Roman" w:cs="Times New Roman"/>
                <w:b/>
                <w:bCs/>
                <w:sz w:val="24"/>
                <w:szCs w:val="24"/>
                <w:lang w:val="uk-UA"/>
              </w:rPr>
            </w:pPr>
            <w:r w:rsidRPr="00F32A61">
              <w:rPr>
                <w:rFonts w:ascii="Times New Roman" w:eastAsia="SimSun" w:hAnsi="Times New Roman" w:cs="Times New Roman"/>
                <w:b/>
                <w:bCs/>
                <w:sz w:val="24"/>
                <w:szCs w:val="24"/>
                <w:lang w:val="uk-UA" w:bidi="ar"/>
              </w:rPr>
              <w:t>Можливий вплив на довкілля</w:t>
            </w:r>
          </w:p>
        </w:tc>
      </w:tr>
      <w:bookmarkEnd w:id="1"/>
      <w:tr w:rsidR="00E62C75" w:rsidRPr="00E432DD" w14:paraId="24F97F73" w14:textId="77777777">
        <w:tc>
          <w:tcPr>
            <w:tcW w:w="0" w:type="auto"/>
            <w:tcBorders>
              <w:tl2br w:val="nil"/>
              <w:tr2bl w:val="nil"/>
            </w:tcBorders>
            <w:shd w:val="clear" w:color="auto" w:fill="auto"/>
            <w:vAlign w:val="center"/>
          </w:tcPr>
          <w:p w14:paraId="28D66BEC"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Енергетика</w:t>
            </w:r>
          </w:p>
        </w:tc>
        <w:tc>
          <w:tcPr>
            <w:tcW w:w="0" w:type="auto"/>
            <w:tcBorders>
              <w:tl2br w:val="nil"/>
              <w:tr2bl w:val="nil"/>
            </w:tcBorders>
            <w:shd w:val="clear" w:color="auto" w:fill="auto"/>
            <w:vAlign w:val="center"/>
          </w:tcPr>
          <w:p w14:paraId="44F6F2D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Теплові електростанції, атомні електростанції, великі об’єкти відновлюваної енергетики</w:t>
            </w:r>
          </w:p>
        </w:tc>
        <w:tc>
          <w:tcPr>
            <w:tcW w:w="0" w:type="auto"/>
            <w:tcBorders>
              <w:tl2br w:val="nil"/>
              <w:tr2bl w:val="nil"/>
            </w:tcBorders>
            <w:shd w:val="clear" w:color="auto" w:fill="auto"/>
            <w:vAlign w:val="center"/>
          </w:tcPr>
          <w:p w14:paraId="50CEB4C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Викиди в атмосферу, вплив на водні ресурси, утворення відходів</w:t>
            </w:r>
          </w:p>
        </w:tc>
      </w:tr>
      <w:tr w:rsidR="00E62C75" w:rsidRPr="00E432DD" w14:paraId="3300A2ED" w14:textId="77777777">
        <w:tc>
          <w:tcPr>
            <w:tcW w:w="0" w:type="auto"/>
            <w:tcBorders>
              <w:tl2br w:val="nil"/>
              <w:tr2bl w:val="nil"/>
            </w:tcBorders>
            <w:shd w:val="clear" w:color="auto" w:fill="auto"/>
            <w:vAlign w:val="center"/>
          </w:tcPr>
          <w:p w14:paraId="129B13C1"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Видобувна промисловість</w:t>
            </w:r>
          </w:p>
        </w:tc>
        <w:tc>
          <w:tcPr>
            <w:tcW w:w="0" w:type="auto"/>
            <w:tcBorders>
              <w:tl2br w:val="nil"/>
              <w:tr2bl w:val="nil"/>
            </w:tcBorders>
            <w:shd w:val="clear" w:color="auto" w:fill="auto"/>
            <w:vAlign w:val="center"/>
          </w:tcPr>
          <w:p w14:paraId="625196B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Видобування нафти, газу, вугілля, рудних і нерудних корисних копалин</w:t>
            </w:r>
          </w:p>
        </w:tc>
        <w:tc>
          <w:tcPr>
            <w:tcW w:w="0" w:type="auto"/>
            <w:tcBorders>
              <w:tl2br w:val="nil"/>
              <w:tr2bl w:val="nil"/>
            </w:tcBorders>
            <w:shd w:val="clear" w:color="auto" w:fill="auto"/>
            <w:vAlign w:val="center"/>
          </w:tcPr>
          <w:p w14:paraId="6F0F24B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Порушення земель, забруднення ґрунтів і вод</w:t>
            </w:r>
          </w:p>
        </w:tc>
      </w:tr>
      <w:tr w:rsidR="00E62C75" w:rsidRPr="00F32A61" w14:paraId="22043E34" w14:textId="77777777">
        <w:tc>
          <w:tcPr>
            <w:tcW w:w="0" w:type="auto"/>
            <w:tcBorders>
              <w:tl2br w:val="nil"/>
              <w:tr2bl w:val="nil"/>
            </w:tcBorders>
            <w:shd w:val="clear" w:color="auto" w:fill="auto"/>
            <w:vAlign w:val="center"/>
          </w:tcPr>
          <w:p w14:paraId="3A773025" w14:textId="6EA3BF03" w:rsidR="00E62C75" w:rsidRPr="00F32A61" w:rsidRDefault="00F32A61">
            <w:pPr>
              <w:jc w:val="center"/>
              <w:rPr>
                <w:rFonts w:ascii="Times New Roman" w:hAnsi="Times New Roman" w:cs="Times New Roman"/>
                <w:sz w:val="24"/>
                <w:szCs w:val="24"/>
                <w:lang w:val="uk-UA"/>
              </w:rPr>
            </w:pPr>
            <w:r w:rsidRPr="00E432DD">
              <w:rPr>
                <w:lang w:val="ru-RU"/>
              </w:rPr>
              <w:br w:type="page"/>
            </w:r>
            <w:r w:rsidRPr="00F32A61">
              <w:rPr>
                <w:rFonts w:ascii="Times New Roman" w:eastAsia="SimSun" w:hAnsi="Times New Roman" w:cs="Times New Roman"/>
                <w:sz w:val="24"/>
                <w:szCs w:val="24"/>
                <w:lang w:val="uk-UA" w:bidi="ar"/>
              </w:rPr>
              <w:t>Металургійне виробництво</w:t>
            </w:r>
          </w:p>
        </w:tc>
        <w:tc>
          <w:tcPr>
            <w:tcW w:w="0" w:type="auto"/>
            <w:tcBorders>
              <w:tl2br w:val="nil"/>
              <w:tr2bl w:val="nil"/>
            </w:tcBorders>
            <w:shd w:val="clear" w:color="auto" w:fill="auto"/>
            <w:vAlign w:val="center"/>
          </w:tcPr>
          <w:p w14:paraId="097ED150"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Металургійні комбінати, коксохімічні підприємства</w:t>
            </w:r>
          </w:p>
        </w:tc>
        <w:tc>
          <w:tcPr>
            <w:tcW w:w="0" w:type="auto"/>
            <w:tcBorders>
              <w:tl2br w:val="nil"/>
              <w:tr2bl w:val="nil"/>
            </w:tcBorders>
            <w:shd w:val="clear" w:color="auto" w:fill="auto"/>
            <w:vAlign w:val="center"/>
          </w:tcPr>
          <w:p w14:paraId="6130A3AE"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Значні викиди забруднюючих речовин</w:t>
            </w:r>
          </w:p>
        </w:tc>
      </w:tr>
      <w:tr w:rsidR="00E62C75" w:rsidRPr="00F32A61" w14:paraId="599C9417" w14:textId="77777777">
        <w:tc>
          <w:tcPr>
            <w:tcW w:w="0" w:type="auto"/>
            <w:tcBorders>
              <w:tl2br w:val="nil"/>
              <w:tr2bl w:val="nil"/>
            </w:tcBorders>
            <w:shd w:val="clear" w:color="auto" w:fill="auto"/>
            <w:vAlign w:val="center"/>
          </w:tcPr>
          <w:p w14:paraId="17D30B43"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Хімічна промисловість</w:t>
            </w:r>
          </w:p>
        </w:tc>
        <w:tc>
          <w:tcPr>
            <w:tcW w:w="0" w:type="auto"/>
            <w:tcBorders>
              <w:tl2br w:val="nil"/>
              <w:tr2bl w:val="nil"/>
            </w:tcBorders>
            <w:shd w:val="clear" w:color="auto" w:fill="auto"/>
            <w:vAlign w:val="center"/>
          </w:tcPr>
          <w:p w14:paraId="1663CFED"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Виробництво мінеральних добрив, хімічних реагентів, пластмас</w:t>
            </w:r>
          </w:p>
        </w:tc>
        <w:tc>
          <w:tcPr>
            <w:tcW w:w="0" w:type="auto"/>
            <w:tcBorders>
              <w:tl2br w:val="nil"/>
              <w:tr2bl w:val="nil"/>
            </w:tcBorders>
            <w:shd w:val="clear" w:color="auto" w:fill="auto"/>
            <w:vAlign w:val="center"/>
          </w:tcPr>
          <w:p w14:paraId="0E2C6E9F"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Хімічне забруднення довкілля</w:t>
            </w:r>
          </w:p>
        </w:tc>
      </w:tr>
    </w:tbl>
    <w:p w14:paraId="2CFDA27B" w14:textId="77777777" w:rsidR="00F32A61" w:rsidRDefault="00F32A61">
      <w:pPr>
        <w:rPr>
          <w:lang w:val="ru-RU"/>
        </w:rPr>
      </w:pPr>
      <w:r>
        <w:br w:type="page"/>
      </w:r>
    </w:p>
    <w:p w14:paraId="344D5565" w14:textId="32CF9792" w:rsidR="00F32A61" w:rsidRDefault="00F32A61" w:rsidP="00F32A61">
      <w:pPr>
        <w:jc w:val="right"/>
        <w:rPr>
          <w:sz w:val="24"/>
          <w:szCs w:val="24"/>
          <w:lang w:val="ru-RU"/>
        </w:rPr>
      </w:pPr>
      <w:r w:rsidRPr="00F32A61">
        <w:rPr>
          <w:rFonts w:ascii="Times New Roman" w:hAnsi="Times New Roman" w:cs="Times New Roman"/>
          <w:sz w:val="24"/>
          <w:szCs w:val="24"/>
          <w:lang w:val="uk-UA"/>
        </w:rPr>
        <w:lastRenderedPageBreak/>
        <w:t>Продовження додатка</w:t>
      </w:r>
      <w:r>
        <w:rPr>
          <w:lang w:val="ru-RU"/>
        </w:rPr>
        <w:t xml:space="preserve"> </w:t>
      </w:r>
      <w:r w:rsidRPr="00F32A61">
        <w:rPr>
          <w:sz w:val="24"/>
          <w:szCs w:val="24"/>
          <w:lang w:val="ru-RU"/>
        </w:rPr>
        <w:t>Б</w:t>
      </w:r>
    </w:p>
    <w:p w14:paraId="0BCEAD46" w14:textId="77777777" w:rsidR="00F32A61" w:rsidRPr="00F32A61" w:rsidRDefault="00F32A61" w:rsidP="00F32A61">
      <w:pPr>
        <w:jc w:val="right"/>
        <w:rPr>
          <w:sz w:val="24"/>
          <w:szCs w:val="24"/>
          <w:lang w:val="ru-RU"/>
        </w:rPr>
      </w:pP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17" w:type="dxa"/>
          <w:left w:w="17" w:type="dxa"/>
          <w:bottom w:w="17" w:type="dxa"/>
          <w:right w:w="17" w:type="dxa"/>
        </w:tblCellMar>
        <w:tblLook w:val="04A0" w:firstRow="1" w:lastRow="0" w:firstColumn="1" w:lastColumn="0" w:noHBand="0" w:noVBand="1"/>
      </w:tblPr>
      <w:tblGrid>
        <w:gridCol w:w="1878"/>
        <w:gridCol w:w="4354"/>
        <w:gridCol w:w="3397"/>
      </w:tblGrid>
      <w:tr w:rsidR="00F32A61" w:rsidRPr="00F32A61" w14:paraId="618CD5AC" w14:textId="77777777" w:rsidTr="00613FB0">
        <w:tc>
          <w:tcPr>
            <w:tcW w:w="1878"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1068D864" w14:textId="72EE1FF8" w:rsidR="00F32A61" w:rsidRPr="00F32A61" w:rsidRDefault="00F32A61" w:rsidP="00F34838">
            <w:pPr>
              <w:jc w:val="center"/>
              <w:rPr>
                <w:rFonts w:ascii="Times New Roman" w:eastAsia="SimSun" w:hAnsi="Times New Roman" w:cs="Times New Roman"/>
                <w:b/>
                <w:bCs/>
                <w:sz w:val="24"/>
                <w:szCs w:val="24"/>
                <w:lang w:val="uk-UA" w:bidi="ar"/>
              </w:rPr>
            </w:pPr>
            <w:r w:rsidRPr="00F32A61">
              <w:rPr>
                <w:rFonts w:ascii="Times New Roman" w:eastAsia="SimSun" w:hAnsi="Times New Roman" w:cs="Times New Roman"/>
                <w:b/>
                <w:bCs/>
                <w:sz w:val="24"/>
                <w:szCs w:val="24"/>
                <w:lang w:val="uk-UA" w:bidi="ar"/>
              </w:rPr>
              <w:t>Категорія діяльності</w:t>
            </w:r>
          </w:p>
        </w:tc>
        <w:tc>
          <w:tcPr>
            <w:tcW w:w="4354"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214220EA" w14:textId="77777777" w:rsidR="00F32A61" w:rsidRPr="00F32A61" w:rsidRDefault="00F32A61" w:rsidP="00F34838">
            <w:pPr>
              <w:jc w:val="center"/>
              <w:rPr>
                <w:rFonts w:ascii="Times New Roman" w:eastAsia="SimSun" w:hAnsi="Times New Roman" w:cs="Times New Roman"/>
                <w:b/>
                <w:bCs/>
                <w:sz w:val="24"/>
                <w:szCs w:val="24"/>
                <w:lang w:val="uk-UA" w:bidi="ar"/>
              </w:rPr>
            </w:pPr>
            <w:r w:rsidRPr="00F32A61">
              <w:rPr>
                <w:rFonts w:ascii="Times New Roman" w:eastAsia="SimSun" w:hAnsi="Times New Roman" w:cs="Times New Roman"/>
                <w:b/>
                <w:bCs/>
                <w:sz w:val="24"/>
                <w:szCs w:val="24"/>
                <w:lang w:val="uk-UA" w:bidi="ar"/>
              </w:rPr>
              <w:t>Приклади об’єктів та робіт</w:t>
            </w:r>
          </w:p>
        </w:tc>
        <w:tc>
          <w:tcPr>
            <w:tcW w:w="3397"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00F56769" w14:textId="77777777" w:rsidR="00F32A61" w:rsidRPr="00F32A61" w:rsidRDefault="00F32A61" w:rsidP="00F34838">
            <w:pPr>
              <w:jc w:val="center"/>
              <w:rPr>
                <w:rFonts w:ascii="Times New Roman" w:eastAsia="SimSun" w:hAnsi="Times New Roman" w:cs="Times New Roman"/>
                <w:b/>
                <w:bCs/>
                <w:sz w:val="24"/>
                <w:szCs w:val="24"/>
                <w:lang w:val="uk-UA" w:bidi="ar"/>
              </w:rPr>
            </w:pPr>
            <w:r w:rsidRPr="00F32A61">
              <w:rPr>
                <w:rFonts w:ascii="Times New Roman" w:eastAsia="SimSun" w:hAnsi="Times New Roman" w:cs="Times New Roman"/>
                <w:b/>
                <w:bCs/>
                <w:sz w:val="24"/>
                <w:szCs w:val="24"/>
                <w:lang w:val="uk-UA" w:bidi="ar"/>
              </w:rPr>
              <w:t>Можливий вплив на довкілля</w:t>
            </w:r>
          </w:p>
        </w:tc>
      </w:tr>
      <w:tr w:rsidR="00E62C75" w:rsidRPr="00E432DD" w14:paraId="233AB00B" w14:textId="77777777" w:rsidTr="00613FB0">
        <w:tc>
          <w:tcPr>
            <w:tcW w:w="1878" w:type="dxa"/>
            <w:tcBorders>
              <w:tl2br w:val="nil"/>
              <w:tr2bl w:val="nil"/>
            </w:tcBorders>
            <w:shd w:val="clear" w:color="auto" w:fill="auto"/>
            <w:vAlign w:val="center"/>
          </w:tcPr>
          <w:p w14:paraId="66EA1763" w14:textId="1AE3B759"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Поводження з відходами</w:t>
            </w:r>
          </w:p>
        </w:tc>
        <w:tc>
          <w:tcPr>
            <w:tcW w:w="4354" w:type="dxa"/>
            <w:tcBorders>
              <w:tl2br w:val="nil"/>
              <w:tr2bl w:val="nil"/>
            </w:tcBorders>
            <w:shd w:val="clear" w:color="auto" w:fill="auto"/>
            <w:vAlign w:val="center"/>
          </w:tcPr>
          <w:p w14:paraId="3D90136C"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Полігони відходів, сміттєспалювальні установки, комплекси переробки</w:t>
            </w:r>
          </w:p>
        </w:tc>
        <w:tc>
          <w:tcPr>
            <w:tcW w:w="3397" w:type="dxa"/>
            <w:tcBorders>
              <w:tl2br w:val="nil"/>
              <w:tr2bl w:val="nil"/>
            </w:tcBorders>
            <w:shd w:val="clear" w:color="auto" w:fill="auto"/>
            <w:vAlign w:val="center"/>
          </w:tcPr>
          <w:p w14:paraId="5B45E3A2"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Забруднення повітря, вод та ґрунтів</w:t>
            </w:r>
          </w:p>
        </w:tc>
      </w:tr>
      <w:tr w:rsidR="00F32A61" w:rsidRPr="00F32A61" w14:paraId="4AE521E7" w14:textId="77777777" w:rsidTr="00613FB0">
        <w:tc>
          <w:tcPr>
            <w:tcW w:w="1878"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0BE8DBCE" w14:textId="77777777" w:rsidR="00F32A61" w:rsidRPr="00F32A61" w:rsidRDefault="00F32A61" w:rsidP="00F34838">
            <w:pPr>
              <w:jc w:val="center"/>
              <w:rPr>
                <w:rFonts w:ascii="Times New Roman" w:eastAsia="SimSun" w:hAnsi="Times New Roman" w:cs="Times New Roman"/>
                <w:sz w:val="24"/>
                <w:szCs w:val="24"/>
                <w:lang w:val="uk-UA" w:bidi="ar"/>
              </w:rPr>
            </w:pPr>
            <w:r w:rsidRPr="00F32A61">
              <w:rPr>
                <w:rFonts w:ascii="Times New Roman" w:eastAsia="SimSun" w:hAnsi="Times New Roman" w:cs="Times New Roman"/>
                <w:sz w:val="24"/>
                <w:szCs w:val="24"/>
                <w:lang w:val="uk-UA" w:bidi="ar"/>
              </w:rPr>
              <w:t>Категорія діяльності</w:t>
            </w:r>
          </w:p>
        </w:tc>
        <w:tc>
          <w:tcPr>
            <w:tcW w:w="4354"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7F4528CD" w14:textId="77777777" w:rsidR="00F32A61" w:rsidRPr="00F32A61" w:rsidRDefault="00F32A61" w:rsidP="00F34838">
            <w:pPr>
              <w:jc w:val="center"/>
              <w:rPr>
                <w:rFonts w:ascii="Times New Roman" w:eastAsia="SimSun" w:hAnsi="Times New Roman" w:cs="Times New Roman"/>
                <w:sz w:val="24"/>
                <w:szCs w:val="24"/>
                <w:lang w:val="uk-UA" w:bidi="ar"/>
              </w:rPr>
            </w:pPr>
            <w:r w:rsidRPr="00F32A61">
              <w:rPr>
                <w:rFonts w:ascii="Times New Roman" w:eastAsia="SimSun" w:hAnsi="Times New Roman" w:cs="Times New Roman"/>
                <w:sz w:val="24"/>
                <w:szCs w:val="24"/>
                <w:lang w:val="uk-UA" w:bidi="ar"/>
              </w:rPr>
              <w:t>Приклади об’єктів та робіт</w:t>
            </w:r>
          </w:p>
        </w:tc>
        <w:tc>
          <w:tcPr>
            <w:tcW w:w="3397" w:type="dxa"/>
            <w:tcBorders>
              <w:top w:val="single" w:sz="4" w:space="0" w:color="000000" w:themeColor="text1"/>
              <w:left w:val="single" w:sz="4" w:space="0" w:color="000000" w:themeColor="text1"/>
              <w:bottom w:val="single" w:sz="4" w:space="0" w:color="000000" w:themeColor="text1"/>
              <w:right w:val="single" w:sz="4" w:space="0" w:color="000000" w:themeColor="text1"/>
              <w:tl2br w:val="nil"/>
              <w:tr2bl w:val="nil"/>
            </w:tcBorders>
            <w:shd w:val="clear" w:color="auto" w:fill="auto"/>
            <w:vAlign w:val="center"/>
          </w:tcPr>
          <w:p w14:paraId="1B3B3ECE" w14:textId="77777777" w:rsidR="00F32A61" w:rsidRPr="00F32A61" w:rsidRDefault="00F32A61" w:rsidP="00F34838">
            <w:pPr>
              <w:jc w:val="center"/>
              <w:rPr>
                <w:rFonts w:ascii="Times New Roman" w:eastAsia="SimSun" w:hAnsi="Times New Roman" w:cs="Times New Roman"/>
                <w:sz w:val="24"/>
                <w:szCs w:val="24"/>
                <w:lang w:val="uk-UA" w:bidi="ar"/>
              </w:rPr>
            </w:pPr>
            <w:r w:rsidRPr="00F32A61">
              <w:rPr>
                <w:rFonts w:ascii="Times New Roman" w:eastAsia="SimSun" w:hAnsi="Times New Roman" w:cs="Times New Roman"/>
                <w:sz w:val="24"/>
                <w:szCs w:val="24"/>
                <w:lang w:val="uk-UA" w:bidi="ar"/>
              </w:rPr>
              <w:t>Можливий вплив на довкілля</w:t>
            </w:r>
          </w:p>
        </w:tc>
      </w:tr>
      <w:tr w:rsidR="00E62C75" w:rsidRPr="00F32A61" w14:paraId="4703C820" w14:textId="77777777" w:rsidTr="00613FB0">
        <w:tc>
          <w:tcPr>
            <w:tcW w:w="1878" w:type="dxa"/>
            <w:tcBorders>
              <w:tl2br w:val="nil"/>
              <w:tr2bl w:val="nil"/>
            </w:tcBorders>
            <w:shd w:val="clear" w:color="auto" w:fill="auto"/>
            <w:vAlign w:val="center"/>
          </w:tcPr>
          <w:p w14:paraId="1D8068F2" w14:textId="2BB2704A"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Транспортна інфраструктура</w:t>
            </w:r>
          </w:p>
        </w:tc>
        <w:tc>
          <w:tcPr>
            <w:tcW w:w="4354" w:type="dxa"/>
            <w:tcBorders>
              <w:tl2br w:val="nil"/>
              <w:tr2bl w:val="nil"/>
            </w:tcBorders>
            <w:shd w:val="clear" w:color="auto" w:fill="auto"/>
            <w:vAlign w:val="center"/>
          </w:tcPr>
          <w:p w14:paraId="6246C24F"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Автомагістралі, аеропорти, залізничні лінії, морські порти</w:t>
            </w:r>
          </w:p>
        </w:tc>
        <w:tc>
          <w:tcPr>
            <w:tcW w:w="3397" w:type="dxa"/>
            <w:tcBorders>
              <w:tl2br w:val="nil"/>
              <w:tr2bl w:val="nil"/>
            </w:tcBorders>
            <w:shd w:val="clear" w:color="auto" w:fill="auto"/>
            <w:vAlign w:val="center"/>
          </w:tcPr>
          <w:p w14:paraId="4F994BF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Шумове навантаження, зміна ландшафтів</w:t>
            </w:r>
          </w:p>
        </w:tc>
      </w:tr>
      <w:tr w:rsidR="00E62C75" w:rsidRPr="00F32A61" w14:paraId="1F5FFEC7" w14:textId="77777777" w:rsidTr="00613FB0">
        <w:tc>
          <w:tcPr>
            <w:tcW w:w="1878" w:type="dxa"/>
            <w:tcBorders>
              <w:tl2br w:val="nil"/>
              <w:tr2bl w:val="nil"/>
            </w:tcBorders>
            <w:shd w:val="clear" w:color="auto" w:fill="auto"/>
            <w:vAlign w:val="center"/>
          </w:tcPr>
          <w:p w14:paraId="7721507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Водогосподарські об’єкти</w:t>
            </w:r>
          </w:p>
        </w:tc>
        <w:tc>
          <w:tcPr>
            <w:tcW w:w="4354" w:type="dxa"/>
            <w:tcBorders>
              <w:tl2br w:val="nil"/>
              <w:tr2bl w:val="nil"/>
            </w:tcBorders>
            <w:shd w:val="clear" w:color="auto" w:fill="auto"/>
            <w:vAlign w:val="center"/>
          </w:tcPr>
          <w:p w14:paraId="54189ABA"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ГЕС, водосховища, канали, системи водовідведення</w:t>
            </w:r>
          </w:p>
        </w:tc>
        <w:tc>
          <w:tcPr>
            <w:tcW w:w="3397" w:type="dxa"/>
            <w:tcBorders>
              <w:tl2br w:val="nil"/>
              <w:tr2bl w:val="nil"/>
            </w:tcBorders>
            <w:shd w:val="clear" w:color="auto" w:fill="auto"/>
            <w:vAlign w:val="center"/>
          </w:tcPr>
          <w:p w14:paraId="4EF4C615"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Зміна гідрологічного режиму водойм</w:t>
            </w:r>
          </w:p>
        </w:tc>
      </w:tr>
      <w:tr w:rsidR="00E62C75" w:rsidRPr="00E432DD" w14:paraId="7C52CBE7" w14:textId="77777777" w:rsidTr="00613FB0">
        <w:tc>
          <w:tcPr>
            <w:tcW w:w="1878" w:type="dxa"/>
            <w:tcBorders>
              <w:tl2br w:val="nil"/>
              <w:tr2bl w:val="nil"/>
            </w:tcBorders>
            <w:shd w:val="clear" w:color="auto" w:fill="auto"/>
            <w:vAlign w:val="center"/>
          </w:tcPr>
          <w:p w14:paraId="40BDE864"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Сільське господарство</w:t>
            </w:r>
          </w:p>
        </w:tc>
        <w:tc>
          <w:tcPr>
            <w:tcW w:w="4354" w:type="dxa"/>
            <w:tcBorders>
              <w:tl2br w:val="nil"/>
              <w:tr2bl w:val="nil"/>
            </w:tcBorders>
            <w:shd w:val="clear" w:color="auto" w:fill="auto"/>
            <w:vAlign w:val="center"/>
          </w:tcPr>
          <w:p w14:paraId="508924D6"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Великі тваринницькі комплекси, птахофабрики</w:t>
            </w:r>
          </w:p>
        </w:tc>
        <w:tc>
          <w:tcPr>
            <w:tcW w:w="3397" w:type="dxa"/>
            <w:tcBorders>
              <w:tl2br w:val="nil"/>
              <w:tr2bl w:val="nil"/>
            </w:tcBorders>
            <w:shd w:val="clear" w:color="auto" w:fill="auto"/>
            <w:vAlign w:val="center"/>
          </w:tcPr>
          <w:p w14:paraId="3856FDC9"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Викиди метану, забруднення водних ресурсів</w:t>
            </w:r>
          </w:p>
        </w:tc>
      </w:tr>
      <w:tr w:rsidR="00E62C75" w:rsidRPr="00F32A61" w14:paraId="1A8E2216" w14:textId="77777777" w:rsidTr="00613FB0">
        <w:tc>
          <w:tcPr>
            <w:tcW w:w="1878" w:type="dxa"/>
            <w:tcBorders>
              <w:tl2br w:val="nil"/>
              <w:tr2bl w:val="nil"/>
            </w:tcBorders>
            <w:shd w:val="clear" w:color="auto" w:fill="auto"/>
            <w:vAlign w:val="center"/>
          </w:tcPr>
          <w:p w14:paraId="0F654C7D"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Лісове господарство</w:t>
            </w:r>
          </w:p>
        </w:tc>
        <w:tc>
          <w:tcPr>
            <w:tcW w:w="4354" w:type="dxa"/>
            <w:tcBorders>
              <w:tl2br w:val="nil"/>
              <w:tr2bl w:val="nil"/>
            </w:tcBorders>
            <w:shd w:val="clear" w:color="auto" w:fill="auto"/>
            <w:vAlign w:val="center"/>
          </w:tcPr>
          <w:p w14:paraId="3C341CB8"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Суцільні рубки на значних площах</w:t>
            </w:r>
          </w:p>
        </w:tc>
        <w:tc>
          <w:tcPr>
            <w:tcW w:w="3397" w:type="dxa"/>
            <w:tcBorders>
              <w:tl2br w:val="nil"/>
              <w:tr2bl w:val="nil"/>
            </w:tcBorders>
            <w:shd w:val="clear" w:color="auto" w:fill="auto"/>
            <w:vAlign w:val="center"/>
          </w:tcPr>
          <w:p w14:paraId="363E995C"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Втрата біорізноманіття, зміна екосистем</w:t>
            </w:r>
          </w:p>
        </w:tc>
      </w:tr>
      <w:tr w:rsidR="00E62C75" w:rsidRPr="00F32A61" w14:paraId="4EFA2D2C" w14:textId="77777777" w:rsidTr="00613FB0">
        <w:tc>
          <w:tcPr>
            <w:tcW w:w="1878" w:type="dxa"/>
            <w:tcBorders>
              <w:tl2br w:val="nil"/>
              <w:tr2bl w:val="nil"/>
            </w:tcBorders>
            <w:shd w:val="clear" w:color="auto" w:fill="auto"/>
            <w:vAlign w:val="center"/>
          </w:tcPr>
          <w:p w14:paraId="59BE5A4A"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Туристична та рекреаційна інфраструктура</w:t>
            </w:r>
          </w:p>
        </w:tc>
        <w:tc>
          <w:tcPr>
            <w:tcW w:w="4354" w:type="dxa"/>
            <w:tcBorders>
              <w:tl2br w:val="nil"/>
              <w:tr2bl w:val="nil"/>
            </w:tcBorders>
            <w:shd w:val="clear" w:color="auto" w:fill="auto"/>
            <w:vAlign w:val="center"/>
          </w:tcPr>
          <w:p w14:paraId="769AC0D7"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Гірськолижні комплекси, масштабні рекреаційні об’єкти</w:t>
            </w:r>
          </w:p>
        </w:tc>
        <w:tc>
          <w:tcPr>
            <w:tcW w:w="3397" w:type="dxa"/>
            <w:tcBorders>
              <w:tl2br w:val="nil"/>
              <w:tr2bl w:val="nil"/>
            </w:tcBorders>
            <w:shd w:val="clear" w:color="auto" w:fill="auto"/>
            <w:vAlign w:val="center"/>
          </w:tcPr>
          <w:p w14:paraId="29E4F0E4" w14:textId="77777777" w:rsidR="00E62C75" w:rsidRPr="00F32A61" w:rsidRDefault="00000000">
            <w:pPr>
              <w:jc w:val="center"/>
              <w:rPr>
                <w:rFonts w:ascii="Times New Roman" w:hAnsi="Times New Roman" w:cs="Times New Roman"/>
                <w:sz w:val="24"/>
                <w:szCs w:val="24"/>
                <w:lang w:val="uk-UA"/>
              </w:rPr>
            </w:pPr>
            <w:r w:rsidRPr="00F32A61">
              <w:rPr>
                <w:rFonts w:ascii="Times New Roman" w:eastAsia="SimSun" w:hAnsi="Times New Roman" w:cs="Times New Roman"/>
                <w:sz w:val="24"/>
                <w:szCs w:val="24"/>
                <w:lang w:val="uk-UA" w:bidi="ar"/>
              </w:rPr>
              <w:t>Навантаження на природні території</w:t>
            </w:r>
          </w:p>
        </w:tc>
      </w:tr>
    </w:tbl>
    <w:p w14:paraId="6EA3E2B9" w14:textId="77777777" w:rsidR="00E62C75" w:rsidRPr="00F32A61" w:rsidRDefault="00E62C75">
      <w:pPr>
        <w:pStyle w:val="a8"/>
        <w:spacing w:beforeAutospacing="0" w:afterAutospacing="0" w:line="360" w:lineRule="auto"/>
        <w:jc w:val="both"/>
        <w:rPr>
          <w:lang w:val="uk-UA"/>
        </w:rPr>
      </w:pPr>
    </w:p>
    <w:p w14:paraId="203DC912" w14:textId="28FFEF7B" w:rsidR="00E62C75" w:rsidRPr="00F32A61" w:rsidRDefault="00F32A61">
      <w:pPr>
        <w:pStyle w:val="a8"/>
        <w:spacing w:beforeAutospacing="0" w:afterAutospacing="0" w:line="360" w:lineRule="auto"/>
        <w:ind w:firstLineChars="214" w:firstLine="514"/>
        <w:jc w:val="both"/>
        <w:rPr>
          <w:i/>
          <w:iCs/>
          <w:lang w:val="uk-UA"/>
        </w:rPr>
      </w:pPr>
      <w:r>
        <w:rPr>
          <w:i/>
          <w:iCs/>
          <w:lang w:val="uk-UA"/>
        </w:rPr>
        <w:t xml:space="preserve"> </w:t>
      </w:r>
    </w:p>
    <w:p w14:paraId="7D5786BC" w14:textId="77777777" w:rsidR="00E62C75" w:rsidRPr="00F32A61" w:rsidRDefault="00E62C75">
      <w:pPr>
        <w:pStyle w:val="a8"/>
        <w:spacing w:beforeAutospacing="0" w:afterAutospacing="0" w:line="360" w:lineRule="auto"/>
        <w:ind w:firstLineChars="250" w:firstLine="600"/>
        <w:rPr>
          <w:rFonts w:ascii="SimSun" w:hAnsi="SimSun" w:cs="SimSun"/>
          <w:lang w:val="uk-UA"/>
        </w:rPr>
      </w:pPr>
    </w:p>
    <w:p w14:paraId="21D8DA47" w14:textId="77777777" w:rsidR="00E62C75" w:rsidRPr="00F32A61" w:rsidRDefault="00E62C75">
      <w:pPr>
        <w:spacing w:line="360" w:lineRule="auto"/>
        <w:jc w:val="center"/>
        <w:rPr>
          <w:rFonts w:ascii="Times New Roman" w:hAnsi="Times New Roman" w:cs="Times New Roman"/>
          <w:sz w:val="24"/>
          <w:szCs w:val="24"/>
          <w:lang w:val="uk-UA"/>
        </w:rPr>
      </w:pPr>
    </w:p>
    <w:p w14:paraId="173A9290" w14:textId="77777777" w:rsidR="00E62C75" w:rsidRPr="00FC0CBD" w:rsidRDefault="00E62C75">
      <w:pPr>
        <w:pStyle w:val="a8"/>
        <w:spacing w:beforeAutospacing="0" w:afterAutospacing="0" w:line="360" w:lineRule="auto"/>
        <w:ind w:rightChars="19" w:right="38"/>
        <w:jc w:val="both"/>
        <w:rPr>
          <w:rFonts w:ascii="SimSun" w:hAnsi="SimSun" w:cs="SimSun"/>
          <w:lang w:val="uk-UA"/>
        </w:rPr>
      </w:pPr>
    </w:p>
    <w:sectPr w:rsidR="00E62C75" w:rsidRPr="00FC0CBD" w:rsidSect="00B52CEE">
      <w:headerReference w:type="default" r:id="rId49"/>
      <w:footerReference w:type="default" r:id="rId50"/>
      <w:pgSz w:w="11906" w:h="16838"/>
      <w:pgMar w:top="1134" w:right="850" w:bottom="1134" w:left="1417"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F41054" w14:textId="77777777" w:rsidR="00524587" w:rsidRDefault="00524587">
      <w:r>
        <w:separator/>
      </w:r>
    </w:p>
  </w:endnote>
  <w:endnote w:type="continuationSeparator" w:id="0">
    <w:p w14:paraId="366B1212" w14:textId="77777777" w:rsidR="00524587" w:rsidRDefault="005245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33746"/>
      <w:docPartObj>
        <w:docPartGallery w:val="Page Numbers (Bottom of Page)"/>
        <w:docPartUnique/>
      </w:docPartObj>
    </w:sdtPr>
    <w:sdtContent>
      <w:p w14:paraId="39A41A2A" w14:textId="6E70D840" w:rsidR="00407EBF" w:rsidRDefault="00407EBF">
        <w:pPr>
          <w:pStyle w:val="a6"/>
          <w:jc w:val="right"/>
        </w:pPr>
        <w:r>
          <w:fldChar w:fldCharType="begin"/>
        </w:r>
        <w:r>
          <w:instrText>PAGE   \* MERGEFORMAT</w:instrText>
        </w:r>
        <w:r>
          <w:fldChar w:fldCharType="separate"/>
        </w:r>
        <w:r>
          <w:rPr>
            <w:lang w:val="ru-RU"/>
          </w:rPr>
          <w:t>2</w:t>
        </w:r>
        <w:r>
          <w:fldChar w:fldCharType="end"/>
        </w:r>
      </w:p>
    </w:sdtContent>
  </w:sdt>
  <w:p w14:paraId="297545A4" w14:textId="77777777" w:rsidR="00407EBF" w:rsidRDefault="00407EB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07027" w14:textId="77777777" w:rsidR="00524587" w:rsidRDefault="00524587">
      <w:r>
        <w:separator/>
      </w:r>
    </w:p>
  </w:footnote>
  <w:footnote w:type="continuationSeparator" w:id="0">
    <w:p w14:paraId="3B5AD032" w14:textId="77777777" w:rsidR="00524587" w:rsidRDefault="005245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6C96E" w14:textId="77777777" w:rsidR="00E62C75" w:rsidRDefault="00000000" w:rsidP="00407EBF">
    <w:pPr>
      <w:pStyle w:val="a5"/>
      <w:jc w:val="right"/>
    </w:pPr>
    <w:r>
      <w:rPr>
        <w:noProof/>
      </w:rPr>
      <mc:AlternateContent>
        <mc:Choice Requires="wps">
          <w:drawing>
            <wp:anchor distT="0" distB="0" distL="114300" distR="114300" simplePos="0" relativeHeight="251659264" behindDoc="0" locked="0" layoutInCell="1" allowOverlap="1" wp14:anchorId="2D828049" wp14:editId="7FB4C364">
              <wp:simplePos x="0" y="0"/>
              <wp:positionH relativeFrom="margin">
                <wp:posOffset>6049645</wp:posOffset>
              </wp:positionH>
              <wp:positionV relativeFrom="paragraph">
                <wp:posOffset>0</wp:posOffset>
              </wp:positionV>
              <wp:extent cx="198120" cy="121920"/>
              <wp:effectExtent l="0" t="0" r="11430" b="11430"/>
              <wp:wrapNone/>
              <wp:docPr id="2" name="Текстовое поле 2"/>
              <wp:cNvGraphicFramePr/>
              <a:graphic xmlns:a="http://schemas.openxmlformats.org/drawingml/2006/main">
                <a:graphicData uri="http://schemas.microsoft.com/office/word/2010/wordprocessingShape">
                  <wps:wsp>
                    <wps:cNvSpPr txBox="1"/>
                    <wps:spPr>
                      <a:xfrm>
                        <a:off x="0" y="0"/>
                        <a:ext cx="198120" cy="1219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8F55AB" w14:textId="541A386D" w:rsidR="00E62C75" w:rsidRDefault="00E62C75">
                          <w:pPr>
                            <w:pStyle w:val="a5"/>
                          </w:pP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2D828049" id="_x0000_t202" coordsize="21600,21600" o:spt="202" path="m,l,21600r21600,l21600,xe">
              <v:stroke joinstyle="miter"/>
              <v:path gradientshapeok="t" o:connecttype="rect"/>
            </v:shapetype>
            <v:shape id="Текстовое поле 2" o:spid="_x0000_s1026" type="#_x0000_t202" style="position:absolute;left:0;text-align:left;margin-left:476.35pt;margin-top:0;width:15.6pt;height:9.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" filled="f" stroked="f" strokeweight=".5pt">
              <v:textbox inset="0,0,0,0">
                <w:txbxContent>
                  <w:p w14:paraId="0C8F55AB" w14:textId="541A386D" w:rsidR="00E62C75" w:rsidRDefault="00E62C75">
                    <w:pPr>
                      <w:pStyle w:val="a5"/>
                    </w:pP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1AF80B5"/>
    <w:multiLevelType w:val="multilevel"/>
    <w:tmpl w:val="D1AF80B5"/>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1729C8BE"/>
    <w:multiLevelType w:val="singleLevel"/>
    <w:tmpl w:val="1729C8BE"/>
    <w:lvl w:ilvl="0">
      <w:start w:val="1"/>
      <w:numFmt w:val="decimal"/>
      <w:suff w:val="space"/>
      <w:lvlText w:val="%1."/>
      <w:lvlJc w:val="left"/>
    </w:lvl>
  </w:abstractNum>
  <w:abstractNum w:abstractNumId="2" w15:restartNumberingAfterBreak="0">
    <w:nsid w:val="601889B6"/>
    <w:multiLevelType w:val="multilevel"/>
    <w:tmpl w:val="601889B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num w:numId="1" w16cid:durableId="1791774862">
    <w:abstractNumId w:val="2"/>
  </w:num>
  <w:num w:numId="2" w16cid:durableId="1847472473">
    <w:abstractNumId w:val="0"/>
  </w:num>
  <w:num w:numId="3" w16cid:durableId="2213339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08"/>
  <w:hyphenationZone w:val="425"/>
  <w:drawingGridVerticalSpacing w:val="156"/>
  <w:noPunctuationKerning/>
  <w:characterSpacingControl w:val="doNotCompress"/>
  <w:hdrShapeDefaults>
    <o:shapedefaults v:ext="edit" spidmax="2050"/>
  </w:hdrShapeDefault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B7D4933"/>
    <w:rsid w:val="00016993"/>
    <w:rsid w:val="00032005"/>
    <w:rsid w:val="000A4FAC"/>
    <w:rsid w:val="001118BB"/>
    <w:rsid w:val="00134B42"/>
    <w:rsid w:val="001506C9"/>
    <w:rsid w:val="00151E2E"/>
    <w:rsid w:val="001D066E"/>
    <w:rsid w:val="00213D15"/>
    <w:rsid w:val="002763DC"/>
    <w:rsid w:val="003019B4"/>
    <w:rsid w:val="00351FA3"/>
    <w:rsid w:val="003F2338"/>
    <w:rsid w:val="00407EBF"/>
    <w:rsid w:val="004955EF"/>
    <w:rsid w:val="00524587"/>
    <w:rsid w:val="005C2136"/>
    <w:rsid w:val="00613FB0"/>
    <w:rsid w:val="006516F4"/>
    <w:rsid w:val="00661E6B"/>
    <w:rsid w:val="006728E4"/>
    <w:rsid w:val="006C41B8"/>
    <w:rsid w:val="007E2CD6"/>
    <w:rsid w:val="008D6F15"/>
    <w:rsid w:val="008E7331"/>
    <w:rsid w:val="009030FB"/>
    <w:rsid w:val="00922134"/>
    <w:rsid w:val="009231C8"/>
    <w:rsid w:val="009C3418"/>
    <w:rsid w:val="00A86674"/>
    <w:rsid w:val="00AA678A"/>
    <w:rsid w:val="00AC3658"/>
    <w:rsid w:val="00B52CEE"/>
    <w:rsid w:val="00B822A3"/>
    <w:rsid w:val="00BE27E3"/>
    <w:rsid w:val="00CE4C6F"/>
    <w:rsid w:val="00D07782"/>
    <w:rsid w:val="00D13988"/>
    <w:rsid w:val="00D7354C"/>
    <w:rsid w:val="00DE020A"/>
    <w:rsid w:val="00E432DD"/>
    <w:rsid w:val="00E5779B"/>
    <w:rsid w:val="00E62C75"/>
    <w:rsid w:val="00E928F2"/>
    <w:rsid w:val="00EC0FD2"/>
    <w:rsid w:val="00F23BE1"/>
    <w:rsid w:val="00F32A61"/>
    <w:rsid w:val="00F53367"/>
    <w:rsid w:val="00FC0CBD"/>
    <w:rsid w:val="3165655E"/>
    <w:rsid w:val="52000615"/>
    <w:rsid w:val="6B7D49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3FBEA2"/>
  <w15:docId w15:val="{547563B1-7F7A-40DD-A67B-04098C0EE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rFonts w:asciiTheme="minorHAnsi" w:eastAsiaTheme="minorEastAsia" w:hAnsiTheme="minorHAnsi" w:cstheme="minorBidi"/>
      <w:lang w:val="en-US" w:eastAsia="zh-CN"/>
    </w:rPr>
  </w:style>
  <w:style w:type="paragraph" w:styleId="1">
    <w:name w:val="heading 1"/>
    <w:next w:val="a"/>
    <w:qFormat/>
    <w:pPr>
      <w:spacing w:beforeAutospacing="1" w:afterAutospacing="1"/>
      <w:outlineLvl w:val="0"/>
    </w:pPr>
    <w:rPr>
      <w:rFonts w:ascii="SimSun" w:hAnsi="SimSun" w:hint="eastAsia"/>
      <w:b/>
      <w:bCs/>
      <w:kern w:val="32"/>
      <w:sz w:val="48"/>
      <w:szCs w:val="48"/>
      <w:lang w:val="en-US" w:eastAsia="zh-CN"/>
    </w:rPr>
  </w:style>
  <w:style w:type="paragraph" w:styleId="2">
    <w:name w:val="heading 2"/>
    <w:next w:val="a"/>
    <w:unhideWhenUsed/>
    <w:qFormat/>
    <w:pPr>
      <w:spacing w:beforeAutospacing="1" w:afterAutospacing="1"/>
      <w:outlineLvl w:val="1"/>
    </w:pPr>
    <w:rPr>
      <w:rFonts w:ascii="SimSun" w:hAnsi="SimSun" w:hint="eastAsia"/>
      <w:b/>
      <w:bCs/>
      <w:i/>
      <w:iCs/>
      <w:sz w:val="36"/>
      <w:szCs w:val="36"/>
      <w:lang w:val="en-US" w:eastAsia="zh-CN"/>
    </w:rPr>
  </w:style>
  <w:style w:type="paragraph" w:styleId="3">
    <w:name w:val="heading 3"/>
    <w:next w:val="a"/>
    <w:semiHidden/>
    <w:unhideWhenUsed/>
    <w:qFormat/>
    <w:pPr>
      <w:spacing w:beforeAutospacing="1" w:afterAutospacing="1"/>
      <w:outlineLvl w:val="2"/>
    </w:pPr>
    <w:rPr>
      <w:rFonts w:ascii="SimSun" w:hAnsi="SimSun" w:hint="eastAsia"/>
      <w:b/>
      <w:bCs/>
      <w:sz w:val="26"/>
      <w:szCs w:val="26"/>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00FF"/>
      <w:u w:val="single"/>
    </w:rPr>
  </w:style>
  <w:style w:type="character" w:styleId="a4">
    <w:name w:val="Strong"/>
    <w:basedOn w:val="a0"/>
    <w:qFormat/>
    <w:rPr>
      <w:b/>
      <w:bCs/>
    </w:rPr>
  </w:style>
  <w:style w:type="paragraph" w:styleId="a5">
    <w:name w:val="header"/>
    <w:basedOn w:val="a"/>
    <w:pPr>
      <w:tabs>
        <w:tab w:val="center" w:pos="4153"/>
        <w:tab w:val="right" w:pos="8306"/>
      </w:tabs>
    </w:pPr>
  </w:style>
  <w:style w:type="paragraph" w:styleId="a6">
    <w:name w:val="footer"/>
    <w:basedOn w:val="a"/>
    <w:link w:val="a7"/>
    <w:uiPriority w:val="99"/>
    <w:pPr>
      <w:tabs>
        <w:tab w:val="center" w:pos="4153"/>
        <w:tab w:val="right" w:pos="8306"/>
      </w:tabs>
    </w:pPr>
  </w:style>
  <w:style w:type="paragraph" w:styleId="a8">
    <w:name w:val="Normal (Web)"/>
    <w:qFormat/>
    <w:pPr>
      <w:spacing w:beforeAutospacing="1" w:afterAutospacing="1"/>
    </w:pPr>
    <w:rPr>
      <w:sz w:val="24"/>
      <w:szCs w:val="24"/>
      <w:lang w:val="en-US" w:eastAsia="zh-CN"/>
    </w:rPr>
  </w:style>
  <w:style w:type="character" w:customStyle="1" w:styleId="a7">
    <w:name w:val="Нижній колонтитул Знак"/>
    <w:basedOn w:val="a0"/>
    <w:link w:val="a6"/>
    <w:uiPriority w:val="99"/>
    <w:rsid w:val="00407EBF"/>
    <w:rPr>
      <w:rFonts w:asciiTheme="minorHAnsi" w:eastAsiaTheme="minorEastAsia" w:hAnsiTheme="minorHAnsi" w:cstheme="minorBidi"/>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26364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epr.gov.ua" TargetMode="External"/><Relationship Id="rId18" Type="http://schemas.openxmlformats.org/officeDocument/2006/relationships/hyperlink" Target="https://ecoaction.org.ua" TargetMode="External"/><Relationship Id="rId26" Type="http://schemas.openxmlformats.org/officeDocument/2006/relationships/hyperlink" Target="https://eur-lex.europa.eu" TargetMode="External"/><Relationship Id="rId39" Type="http://schemas.openxmlformats.org/officeDocument/2006/relationships/hyperlink" Target="https://unece.org" TargetMode="External"/><Relationship Id="rId21" Type="http://schemas.openxmlformats.org/officeDocument/2006/relationships/hyperlink" Target="https://mepr.gov.ua" TargetMode="External"/><Relationship Id="rId34" Type="http://schemas.openxmlformats.org/officeDocument/2006/relationships/hyperlink" Target="https://curia.europa.eu" TargetMode="External"/><Relationship Id="rId42" Type="http://schemas.openxmlformats.org/officeDocument/2006/relationships/hyperlink" Target="https://treaties.un.org" TargetMode="External"/><Relationship Id="rId47" Type="http://schemas.openxmlformats.org/officeDocument/2006/relationships/hyperlink" Target="https://documents.worldbank.org"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995_052" TargetMode="External"/><Relationship Id="rId29" Type="http://schemas.openxmlformats.org/officeDocument/2006/relationships/hyperlink" Target="https://environment.ec.europa.eu" TargetMode="External"/><Relationship Id="rId11" Type="http://schemas.openxmlformats.org/officeDocument/2006/relationships/diagramColors" Target="diagrams/colors1.xml"/><Relationship Id="rId24" Type="http://schemas.openxmlformats.org/officeDocument/2006/relationships/hyperlink" Target="https://unece.org" TargetMode="External"/><Relationship Id="rId32" Type="http://schemas.openxmlformats.org/officeDocument/2006/relationships/hyperlink" Target="https://www.europarl.europa.eu" TargetMode="External"/><Relationship Id="rId37" Type="http://schemas.openxmlformats.org/officeDocument/2006/relationships/hyperlink" Target="https://www.oecd.org" TargetMode="External"/><Relationship Id="rId40" Type="http://schemas.openxmlformats.org/officeDocument/2006/relationships/hyperlink" Target="https://www.unep.org" TargetMode="External"/><Relationship Id="rId45" Type="http://schemas.openxmlformats.org/officeDocument/2006/relationships/hyperlink" Target="https://www.who.int" TargetMode="External"/><Relationship Id="rId5" Type="http://schemas.openxmlformats.org/officeDocument/2006/relationships/webSettings" Target="webSettings.xml"/><Relationship Id="rId15" Type="http://schemas.openxmlformats.org/officeDocument/2006/relationships/hyperlink" Target="https://zakon.rada.gov.ua/laws/show/1264-12" TargetMode="External"/><Relationship Id="rId23" Type="http://schemas.openxmlformats.org/officeDocument/2006/relationships/hyperlink" Target="https://uie.org.ua" TargetMode="External"/><Relationship Id="rId28" Type="http://schemas.openxmlformats.org/officeDocument/2006/relationships/hyperlink" Target="https://unece.org" TargetMode="External"/><Relationship Id="rId36" Type="http://schemas.openxmlformats.org/officeDocument/2006/relationships/hyperlink" Target="https://www.iaia.org" TargetMode="External"/><Relationship Id="rId49"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hyperlink" Target="https://www.kmu.gov.ua" TargetMode="External"/><Relationship Id="rId31" Type="http://schemas.openxmlformats.org/officeDocument/2006/relationships/hyperlink" Target="https://www.eib.org" TargetMode="External"/><Relationship Id="rId44" Type="http://schemas.openxmlformats.org/officeDocument/2006/relationships/hyperlink" Target="https://www.worldbank.org"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zakon.rada.gov.ua/laws/show/2059-19" TargetMode="External"/><Relationship Id="rId22" Type="http://schemas.openxmlformats.org/officeDocument/2006/relationships/hyperlink" Target="https://eia.menr.gov.ua" TargetMode="External"/><Relationship Id="rId27" Type="http://schemas.openxmlformats.org/officeDocument/2006/relationships/hyperlink" Target="https://www.greenpeace.org" TargetMode="External"/><Relationship Id="rId30" Type="http://schemas.openxmlformats.org/officeDocument/2006/relationships/hyperlink" Target="https://www.eea.europa.eu" TargetMode="External"/><Relationship Id="rId35" Type="http://schemas.openxmlformats.org/officeDocument/2006/relationships/hyperlink" Target="https://ec.europa.eu" TargetMode="External"/><Relationship Id="rId43" Type="http://schemas.openxmlformats.org/officeDocument/2006/relationships/hyperlink" Target="https://www.unep.org" TargetMode="External"/><Relationship Id="rId48" Type="http://schemas.openxmlformats.org/officeDocument/2006/relationships/hyperlink" Target="https://www.worldwildlife.org" TargetMode="External"/><Relationship Id="rId8" Type="http://schemas.openxmlformats.org/officeDocument/2006/relationships/diagramData" Target="diagrams/data1.xml"/><Relationship Id="rId51" Type="http://schemas.openxmlformats.org/officeDocument/2006/relationships/fontTable" Target="fontTable.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hyperlink" Target="https://www.ukrstat.gov.ua" TargetMode="External"/><Relationship Id="rId25" Type="http://schemas.openxmlformats.org/officeDocument/2006/relationships/hyperlink" Target="https://eur-lex.europa.eu" TargetMode="External"/><Relationship Id="rId33" Type="http://schemas.openxmlformats.org/officeDocument/2006/relationships/hyperlink" Target="https://europa.eu" TargetMode="External"/><Relationship Id="rId38" Type="http://schemas.openxmlformats.org/officeDocument/2006/relationships/hyperlink" Target="https://www.oecd.org" TargetMode="External"/><Relationship Id="rId46" Type="http://schemas.openxmlformats.org/officeDocument/2006/relationships/hyperlink" Target="https://www.wri.org" TargetMode="External"/><Relationship Id="rId20" Type="http://schemas.openxmlformats.org/officeDocument/2006/relationships/hyperlink" Target="https://mepr.gov.ua" TargetMode="External"/><Relationship Id="rId41" Type="http://schemas.openxmlformats.org/officeDocument/2006/relationships/hyperlink" Target="https://unece.org" TargetMode="Externa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colorful4#11">
  <dgm:title val=""/>
  <dgm:desc val=""/>
  <dgm:catLst>
    <dgm:cat type="colorful" pri="10400"/>
  </dgm:catLst>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6047DBF-95AA-40BC-A783-377E8F18B84D}" type="doc">
      <dgm:prSet loTypeId="urn:microsoft.com/office/officeart/2008/layout/HorizontalMultiLevelHierarchy#1" loCatId="hierarchy" qsTypeId="urn:microsoft.com/office/officeart/2005/8/quickstyle/simple1#16" qsCatId="simple" csTypeId="urn:microsoft.com/office/officeart/2005/8/colors/colorful4#11" csCatId="accent1" phldr="1"/>
      <dgm:spPr/>
      <dgm:t>
        <a:bodyPr/>
        <a:lstStyle/>
        <a:p>
          <a:endParaRPr lang="zh-CN" altLang="en-US"/>
        </a:p>
      </dgm:t>
    </dgm:pt>
    <dgm:pt modelId="{9CF950A0-AF63-4EEF-9FFD-96C1F7E7E392}">
      <dgm:prSet phldrT="[Текст]" phldr="0" custT="0"/>
      <dgm:spPr/>
      <dgm:t>
        <a:bodyPr vert="horz" wrap="square"/>
        <a:lstStyle/>
        <a:p>
          <a:pPr>
            <a:lnSpc>
              <a:spcPct val="100000"/>
            </a:lnSpc>
            <a:spcBef>
              <a:spcPct val="0"/>
            </a:spcBef>
            <a:spcAft>
              <a:spcPct val="35000"/>
            </a:spcAft>
          </a:pPr>
          <a:r>
            <a:rPr lang="en-US" altLang="en-US"/>
            <a:t>                 ПРОБЛЕМИ ТРАНСКОРДОННОЇ ОВД</a:t>
          </a:r>
        </a:p>
      </dgm:t>
    </dgm:pt>
    <dgm:pt modelId="{C208B5D8-5995-4479-A42A-8A55E56C12D9}" type="parTrans" cxnId="{53E9F931-D8F1-4CEA-B6A3-282E36A60F91}">
      <dgm:prSet/>
      <dgm:spPr/>
      <dgm:t>
        <a:bodyPr/>
        <a:lstStyle/>
        <a:p>
          <a:endParaRPr lang="zh-CN" altLang="en-US"/>
        </a:p>
      </dgm:t>
    </dgm:pt>
    <dgm:pt modelId="{789CBC20-C209-4F6E-8277-16D1CD2BC23E}" type="sibTrans" cxnId="{53E9F931-D8F1-4CEA-B6A3-282E36A60F91}">
      <dgm:prSet/>
      <dgm:spPr/>
      <dgm:t>
        <a:bodyPr/>
        <a:lstStyle/>
        <a:p>
          <a:endParaRPr lang="zh-CN" altLang="en-US"/>
        </a:p>
      </dgm:t>
    </dgm:pt>
    <dgm:pt modelId="{43C98814-3703-4708-9480-0269618948C5}">
      <dgm:prSet phldrT="[Текст]" phldr="0" custT="0"/>
      <dgm:spPr/>
      <dgm:t>
        <a:bodyPr vert="horz" wrap="square"/>
        <a:lstStyle/>
        <a:p>
          <a:pPr>
            <a:lnSpc>
              <a:spcPct val="100000"/>
            </a:lnSpc>
            <a:spcBef>
              <a:spcPct val="0"/>
            </a:spcBef>
            <a:spcAft>
              <a:spcPct val="35000"/>
            </a:spcAft>
          </a:pPr>
          <a:r>
            <a:rPr lang="en-US" altLang="en-US"/>
            <a:t>Правові     </a:t>
          </a:r>
        </a:p>
        <a:p>
          <a:pPr>
            <a:lnSpc>
              <a:spcPct val="100000"/>
            </a:lnSpc>
            <a:spcBef>
              <a:spcPct val="0"/>
            </a:spcBef>
            <a:spcAft>
              <a:spcPct val="35000"/>
            </a:spcAft>
          </a:pPr>
          <a:r>
            <a:rPr lang="en-US" altLang="en-US"/>
            <a:t>- нечіткість процедур</a:t>
          </a:r>
        </a:p>
        <a:p>
          <a:pPr>
            <a:lnSpc>
              <a:spcPct val="100000"/>
            </a:lnSpc>
            <a:spcBef>
              <a:spcPct val="0"/>
            </a:spcBef>
            <a:spcAft>
              <a:spcPct val="35000"/>
            </a:spcAft>
          </a:pPr>
          <a:r>
            <a:rPr lang="en-US" altLang="en-US"/>
            <a:t>- складність норм</a:t>
          </a:r>
        </a:p>
        <a:p>
          <a:pPr>
            <a:lnSpc>
              <a:spcPct val="100000"/>
            </a:lnSpc>
            <a:spcBef>
              <a:spcPct val="0"/>
            </a:spcBef>
            <a:spcAft>
              <a:spcPct val="35000"/>
            </a:spcAft>
          </a:pPr>
          <a:r>
            <a:rPr lang="en-US" altLang="en-US">
              <a:sym typeface="+mn-ea"/>
            </a:rPr>
            <a:t>- різні тлумачення </a:t>
          </a:r>
          <a:endParaRPr lang="en-US" altLang="en-US"/>
        </a:p>
      </dgm:t>
    </dgm:pt>
    <dgm:pt modelId="{CEE48522-27B1-4F7F-84F9-D98425D345C1}" type="parTrans" cxnId="{4A409231-A0CA-4148-BCD1-308A23392F71}">
      <dgm:prSet/>
      <dgm:spPr/>
      <dgm:t>
        <a:bodyPr/>
        <a:lstStyle/>
        <a:p>
          <a:endParaRPr lang="zh-CN" altLang="en-US"/>
        </a:p>
      </dgm:t>
    </dgm:pt>
    <dgm:pt modelId="{8F8E0805-276C-4375-BEB7-3681B4D5E062}" type="sibTrans" cxnId="{4A409231-A0CA-4148-BCD1-308A23392F71}">
      <dgm:prSet/>
      <dgm:spPr/>
      <dgm:t>
        <a:bodyPr/>
        <a:lstStyle/>
        <a:p>
          <a:endParaRPr lang="zh-CN" altLang="en-US"/>
        </a:p>
      </dgm:t>
    </dgm:pt>
    <dgm:pt modelId="{EEA9BF43-52EA-422D-B843-A7E2D98344F1}">
      <dgm:prSet phldrT="[Текст]" phldr="0" custT="0"/>
      <dgm:spPr/>
      <dgm:t>
        <a:bodyPr vert="horz" wrap="square"/>
        <a:lstStyle/>
        <a:p>
          <a:pPr>
            <a:lnSpc>
              <a:spcPct val="100000"/>
            </a:lnSpc>
            <a:spcBef>
              <a:spcPct val="0"/>
            </a:spcBef>
            <a:spcAft>
              <a:spcPct val="35000"/>
            </a:spcAft>
          </a:pPr>
          <a:r>
            <a:rPr lang="en-US" altLang="en-US"/>
            <a:t> Інституційні </a:t>
          </a:r>
        </a:p>
        <a:p>
          <a:pPr>
            <a:lnSpc>
              <a:spcPct val="100000"/>
            </a:lnSpc>
            <a:spcBef>
              <a:spcPct val="0"/>
            </a:spcBef>
            <a:spcAft>
              <a:spcPct val="35000"/>
            </a:spcAft>
          </a:pPr>
          <a:r>
            <a:rPr lang="en-US" altLang="en-US"/>
            <a:t>- багато органів  </a:t>
          </a:r>
        </a:p>
        <a:p>
          <a:pPr>
            <a:lnSpc>
              <a:spcPct val="100000"/>
            </a:lnSpc>
            <a:spcBef>
              <a:spcPct val="0"/>
            </a:spcBef>
            <a:spcAft>
              <a:spcPct val="35000"/>
            </a:spcAft>
          </a:pPr>
          <a:r>
            <a:rPr lang="en-US" altLang="en-US"/>
            <a:t> - дублювання функцій</a:t>
          </a:r>
        </a:p>
        <a:p>
          <a:pPr>
            <a:lnSpc>
              <a:spcPct val="100000"/>
            </a:lnSpc>
            <a:spcBef>
              <a:spcPct val="0"/>
            </a:spcBef>
            <a:spcAft>
              <a:spcPct val="35000"/>
            </a:spcAft>
          </a:pPr>
          <a:r>
            <a:rPr lang="en-US" altLang="en-US"/>
            <a:t>- затримки взаємодії</a:t>
          </a:r>
        </a:p>
      </dgm:t>
    </dgm:pt>
    <dgm:pt modelId="{DD4B9A5E-AF0E-4E40-AE50-8ADA48B6C96E}" type="parTrans" cxnId="{49FB9ED1-FECC-46B6-A3B9-B76EC563C225}">
      <dgm:prSet/>
      <dgm:spPr/>
      <dgm:t>
        <a:bodyPr/>
        <a:lstStyle/>
        <a:p>
          <a:endParaRPr lang="zh-CN" altLang="en-US"/>
        </a:p>
      </dgm:t>
    </dgm:pt>
    <dgm:pt modelId="{35829CFD-40BE-4AAC-B481-B24731CD799F}" type="sibTrans" cxnId="{49FB9ED1-FECC-46B6-A3B9-B76EC563C225}">
      <dgm:prSet/>
      <dgm:spPr/>
      <dgm:t>
        <a:bodyPr/>
        <a:lstStyle/>
        <a:p>
          <a:endParaRPr lang="zh-CN" altLang="en-US"/>
        </a:p>
      </dgm:t>
    </dgm:pt>
    <dgm:pt modelId="{05B7883E-08CA-4B11-978A-0E031766AB04}">
      <dgm:prSet phldrT="[Текст]" phldr="0" custT="0"/>
      <dgm:spPr/>
      <dgm:t>
        <a:bodyPr vert="horz" wrap="square"/>
        <a:lstStyle/>
        <a:p>
          <a:pPr>
            <a:lnSpc>
              <a:spcPct val="100000"/>
            </a:lnSpc>
            <a:spcBef>
              <a:spcPct val="0"/>
            </a:spcBef>
            <a:spcAft>
              <a:spcPct val="35000"/>
            </a:spcAft>
          </a:pPr>
          <a:r>
            <a:rPr lang="en-US" altLang="en-US"/>
            <a:t> Інформаційні</a:t>
          </a:r>
        </a:p>
        <a:p>
          <a:pPr>
            <a:lnSpc>
              <a:spcPct val="100000"/>
            </a:lnSpc>
            <a:spcBef>
              <a:spcPct val="0"/>
            </a:spcBef>
            <a:spcAft>
              <a:spcPct val="35000"/>
            </a:spcAft>
          </a:pPr>
          <a:r>
            <a:rPr lang="en-US" altLang="en-US"/>
            <a:t>  - недостатній доступ до інформації</a:t>
          </a:r>
        </a:p>
        <a:p>
          <a:pPr>
            <a:lnSpc>
              <a:spcPct val="100000"/>
            </a:lnSpc>
            <a:spcBef>
              <a:spcPct val="0"/>
            </a:spcBef>
            <a:spcAft>
              <a:spcPct val="35000"/>
            </a:spcAft>
          </a:pPr>
          <a:r>
            <a:rPr lang="en-US" altLang="en-US"/>
            <a:t>- мовні бар’єри</a:t>
          </a:r>
        </a:p>
      </dgm:t>
    </dgm:pt>
    <dgm:pt modelId="{D3AE5FBF-22B8-495D-8175-D008E6DBE25A}" type="parTrans" cxnId="{ABC6D6E9-7EDD-4D43-949C-5B0E32108EBF}">
      <dgm:prSet/>
      <dgm:spPr/>
      <dgm:t>
        <a:bodyPr/>
        <a:lstStyle/>
        <a:p>
          <a:endParaRPr lang="zh-CN" altLang="en-US"/>
        </a:p>
      </dgm:t>
    </dgm:pt>
    <dgm:pt modelId="{07129F62-24FE-4443-9066-E2A8C0818369}" type="sibTrans" cxnId="{ABC6D6E9-7EDD-4D43-949C-5B0E32108EBF}">
      <dgm:prSet/>
      <dgm:spPr/>
      <dgm:t>
        <a:bodyPr/>
        <a:lstStyle/>
        <a:p>
          <a:endParaRPr lang="zh-CN" altLang="en-US"/>
        </a:p>
      </dgm:t>
    </dgm:pt>
    <dgm:pt modelId="{D1EE874B-897F-475F-A919-754E5FBA9A16}">
      <dgm:prSet phldr="0" custT="0"/>
      <dgm:spPr/>
      <dgm:t>
        <a:bodyPr vert="horz" wrap="square"/>
        <a:lstStyle/>
        <a:p>
          <a:pPr>
            <a:lnSpc>
              <a:spcPct val="100000"/>
            </a:lnSpc>
            <a:spcBef>
              <a:spcPct val="0"/>
            </a:spcBef>
            <a:spcAft>
              <a:spcPct val="35000"/>
            </a:spcAft>
          </a:pPr>
          <a:r>
            <a:rPr lang="en-US" altLang="en-US"/>
            <a:t>Кадрові</a:t>
          </a:r>
        </a:p>
        <a:p>
          <a:pPr>
            <a:lnSpc>
              <a:spcPct val="100000"/>
            </a:lnSpc>
            <a:spcBef>
              <a:spcPct val="0"/>
            </a:spcBef>
            <a:spcAft>
              <a:spcPct val="35000"/>
            </a:spcAft>
          </a:pPr>
          <a:r>
            <a:rPr lang="en-US" altLang="en-US"/>
            <a:t>- нестача фахівців</a:t>
          </a:r>
        </a:p>
        <a:p>
          <a:pPr>
            <a:lnSpc>
              <a:spcPct val="100000"/>
            </a:lnSpc>
            <a:spcBef>
              <a:spcPct val="0"/>
            </a:spcBef>
            <a:spcAft>
              <a:spcPct val="35000"/>
            </a:spcAft>
          </a:pPr>
          <a:r>
            <a:rPr lang="en-US" altLang="en-US"/>
            <a:t>- недостатня підготовка</a:t>
          </a:r>
        </a:p>
        <a:p>
          <a:pPr>
            <a:lnSpc>
              <a:spcPct val="100000"/>
            </a:lnSpc>
            <a:spcBef>
              <a:spcPct val="0"/>
            </a:spcBef>
            <a:spcAft>
              <a:spcPct val="35000"/>
            </a:spcAft>
          </a:pPr>
          <a:r>
            <a:rPr lang="en-US" altLang="en-US"/>
            <a:t>- відсутність досвіду</a:t>
          </a:r>
        </a:p>
      </dgm:t>
    </dgm:pt>
    <dgm:pt modelId="{EE2F4746-1077-4656-8325-7E5840E333BC}" type="parTrans" cxnId="{8C451EAC-83AB-46D7-8BC3-87B4CB6F4719}">
      <dgm:prSet/>
      <dgm:spPr/>
      <dgm:t>
        <a:bodyPr/>
        <a:lstStyle/>
        <a:p>
          <a:endParaRPr lang="ru-UA"/>
        </a:p>
      </dgm:t>
    </dgm:pt>
    <dgm:pt modelId="{21BC0A07-6D65-4AF2-91EC-671271F8F505}" type="sibTrans" cxnId="{8C451EAC-83AB-46D7-8BC3-87B4CB6F4719}">
      <dgm:prSet/>
      <dgm:spPr/>
    </dgm:pt>
    <dgm:pt modelId="{16B8876F-F017-420D-8B40-5D246CD58A08}">
      <dgm:prSet phldr="0" custT="0"/>
      <dgm:spPr/>
      <dgm:t>
        <a:bodyPr vert="horz" wrap="square"/>
        <a:lstStyle/>
        <a:p>
          <a:pPr>
            <a:lnSpc>
              <a:spcPct val="100000"/>
            </a:lnSpc>
            <a:spcBef>
              <a:spcPct val="0"/>
            </a:spcBef>
            <a:spcAft>
              <a:spcPct val="35000"/>
            </a:spcAft>
          </a:pPr>
          <a:r>
            <a:rPr lang="en-US" altLang="en-US"/>
            <a:t>Практичні </a:t>
          </a:r>
        </a:p>
        <a:p>
          <a:pPr>
            <a:lnSpc>
              <a:spcPct val="100000"/>
            </a:lnSpc>
            <a:spcBef>
              <a:spcPct val="0"/>
            </a:spcBef>
            <a:spcAft>
              <a:spcPct val="35000"/>
            </a:spcAft>
          </a:pPr>
          <a:r>
            <a:rPr lang="en-US" altLang="en-US"/>
            <a:t> - низька якість звітів </a:t>
          </a:r>
        </a:p>
        <a:p>
          <a:pPr>
            <a:lnSpc>
              <a:spcPct val="100000"/>
            </a:lnSpc>
            <a:spcBef>
              <a:spcPct val="0"/>
            </a:spcBef>
            <a:spcAft>
              <a:spcPct val="35000"/>
            </a:spcAft>
          </a:pPr>
          <a:r>
            <a:rPr lang="en-US" altLang="en-US"/>
            <a:t>- формальний підхід</a:t>
          </a:r>
        </a:p>
        <a:p>
          <a:pPr>
            <a:lnSpc>
              <a:spcPct val="100000"/>
            </a:lnSpc>
            <a:spcBef>
              <a:spcPct val="0"/>
            </a:spcBef>
            <a:spcAft>
              <a:spcPct val="35000"/>
            </a:spcAft>
          </a:pPr>
          <a:r>
            <a:rPr lang="en-US" altLang="en-US"/>
            <a:t>- слабка участь </a:t>
          </a:r>
          <a:r>
            <a:rPr lang="uk-UA" altLang="en-US"/>
            <a:t>громадськості</a:t>
          </a:r>
          <a:r>
            <a:rPr lang="en-US" altLang="en-US"/>
            <a:t> </a:t>
          </a:r>
          <a:endParaRPr altLang="en-US"/>
        </a:p>
      </dgm:t>
    </dgm:pt>
    <dgm:pt modelId="{9E620EF5-4F07-4026-8291-281D809D8E50}" type="parTrans" cxnId="{230904B8-3938-47AC-AD03-EC32A3F10BA5}">
      <dgm:prSet/>
      <dgm:spPr/>
      <dgm:t>
        <a:bodyPr/>
        <a:lstStyle/>
        <a:p>
          <a:endParaRPr lang="ru-UA"/>
        </a:p>
      </dgm:t>
    </dgm:pt>
    <dgm:pt modelId="{B71AA37F-2F15-459F-99B4-701FE266AEB9}" type="sibTrans" cxnId="{230904B8-3938-47AC-AD03-EC32A3F10BA5}">
      <dgm:prSet/>
      <dgm:spPr/>
    </dgm:pt>
    <dgm:pt modelId="{30B42D20-7E8C-42F1-82D1-5CF12A2F8859}">
      <dgm:prSet phldr="0" custT="0"/>
      <dgm:spPr/>
      <dgm:t>
        <a:bodyPr vert="horz" wrap="square"/>
        <a:lstStyle/>
        <a:p>
          <a:pPr>
            <a:lnSpc>
              <a:spcPct val="100000"/>
            </a:lnSpc>
            <a:spcBef>
              <a:spcPct val="0"/>
            </a:spcBef>
            <a:spcAft>
              <a:spcPct val="35000"/>
            </a:spcAft>
          </a:pPr>
          <a:r>
            <a:rPr lang="en-US" altLang="en-US"/>
            <a:t> Технічні</a:t>
          </a:r>
        </a:p>
        <a:p>
          <a:pPr>
            <a:lnSpc>
              <a:spcPct val="100000"/>
            </a:lnSpc>
            <a:spcBef>
              <a:spcPct val="0"/>
            </a:spcBef>
            <a:spcAft>
              <a:spcPct val="35000"/>
            </a:spcAft>
          </a:pPr>
          <a:r>
            <a:rPr lang="en-US" altLang="en-US"/>
            <a:t>- обмежене використання </a:t>
          </a:r>
          <a:r>
            <a:rPr lang="uk-UA" altLang="en-US"/>
            <a:t>електронних систем</a:t>
          </a:r>
        </a:p>
        <a:p>
          <a:pPr>
            <a:lnSpc>
              <a:spcPct val="100000"/>
            </a:lnSpc>
            <a:spcBef>
              <a:spcPct val="0"/>
            </a:spcBef>
            <a:spcAft>
              <a:spcPct val="35000"/>
            </a:spcAft>
          </a:pPr>
          <a:r>
            <a:rPr lang="en-US" altLang="en-US"/>
            <a:t> - паперові дублювання</a:t>
          </a:r>
        </a:p>
      </dgm:t>
    </dgm:pt>
    <dgm:pt modelId="{2D64F9FD-5ECD-4124-BA69-D3DA58557225}" type="parTrans" cxnId="{C83E58A6-3F01-4D75-A111-2DB7414B61DD}">
      <dgm:prSet/>
      <dgm:spPr/>
      <dgm:t>
        <a:bodyPr/>
        <a:lstStyle/>
        <a:p>
          <a:endParaRPr lang="ru-UA"/>
        </a:p>
      </dgm:t>
    </dgm:pt>
    <dgm:pt modelId="{BE4DD12C-AE2C-437B-A670-D75AE0AC6439}" type="sibTrans" cxnId="{C83E58A6-3F01-4D75-A111-2DB7414B61DD}">
      <dgm:prSet/>
      <dgm:spPr/>
    </dgm:pt>
    <dgm:pt modelId="{D46EE152-774F-4CA8-9116-98CB08AEFA88}" type="pres">
      <dgm:prSet presAssocID="{D6047DBF-95AA-40BC-A783-377E8F18B84D}" presName="Name0" presStyleCnt="0">
        <dgm:presLayoutVars>
          <dgm:chPref val="1"/>
          <dgm:dir/>
          <dgm:animOne val="branch"/>
          <dgm:animLvl val="lvl"/>
          <dgm:resizeHandles val="exact"/>
        </dgm:presLayoutVars>
      </dgm:prSet>
      <dgm:spPr/>
    </dgm:pt>
    <dgm:pt modelId="{D1C58439-AB41-4D73-94D5-800644F6883C}" type="pres">
      <dgm:prSet presAssocID="{9CF950A0-AF63-4EEF-9FFD-96C1F7E7E392}" presName="root1" presStyleCnt="0"/>
      <dgm:spPr/>
    </dgm:pt>
    <dgm:pt modelId="{9B9BF0AB-5901-4E79-B4D7-EC064A6E4281}" type="pres">
      <dgm:prSet presAssocID="{9CF950A0-AF63-4EEF-9FFD-96C1F7E7E392}" presName="LevelOneTextNode" presStyleLbl="node0" presStyleIdx="0" presStyleCnt="1">
        <dgm:presLayoutVars>
          <dgm:chPref val="3"/>
        </dgm:presLayoutVars>
      </dgm:prSet>
      <dgm:spPr/>
    </dgm:pt>
    <dgm:pt modelId="{A6E13702-6C97-4911-A4E2-59EE8E68C431}" type="pres">
      <dgm:prSet presAssocID="{9CF950A0-AF63-4EEF-9FFD-96C1F7E7E392}" presName="level2hierChild" presStyleCnt="0"/>
      <dgm:spPr/>
    </dgm:pt>
    <dgm:pt modelId="{64B430B3-FF1B-406C-9FF2-27BA23788747}" type="pres">
      <dgm:prSet presAssocID="{CEE48522-27B1-4F7F-84F9-D98425D345C1}" presName="conn2-1" presStyleLbl="parChTrans1D2" presStyleIdx="0" presStyleCnt="6"/>
      <dgm:spPr/>
    </dgm:pt>
    <dgm:pt modelId="{C069D299-1B39-4BB1-9C27-833B58C46156}" type="pres">
      <dgm:prSet presAssocID="{CEE48522-27B1-4F7F-84F9-D98425D345C1}" presName="connTx" presStyleLbl="parChTrans1D2" presStyleIdx="0" presStyleCnt="6"/>
      <dgm:spPr/>
    </dgm:pt>
    <dgm:pt modelId="{9C4BE19C-8DBD-46B6-9067-607184141480}" type="pres">
      <dgm:prSet presAssocID="{43C98814-3703-4708-9480-0269618948C5}" presName="root2" presStyleCnt="0"/>
      <dgm:spPr/>
    </dgm:pt>
    <dgm:pt modelId="{CDA235D6-AC41-4ED3-AF28-D9CD9EDCBAED}" type="pres">
      <dgm:prSet presAssocID="{43C98814-3703-4708-9480-0269618948C5}" presName="LevelTwoTextNode" presStyleLbl="node2" presStyleIdx="0" presStyleCnt="6">
        <dgm:presLayoutVars>
          <dgm:chPref val="3"/>
        </dgm:presLayoutVars>
      </dgm:prSet>
      <dgm:spPr/>
    </dgm:pt>
    <dgm:pt modelId="{72E265FC-36E6-4BBF-AC05-214FD6415DAB}" type="pres">
      <dgm:prSet presAssocID="{43C98814-3703-4708-9480-0269618948C5}" presName="level3hierChild" presStyleCnt="0"/>
      <dgm:spPr/>
    </dgm:pt>
    <dgm:pt modelId="{2F66960D-CF7A-443C-8CB9-E7DD0B261214}" type="pres">
      <dgm:prSet presAssocID="{DD4B9A5E-AF0E-4E40-AE50-8ADA48B6C96E}" presName="conn2-1" presStyleLbl="parChTrans1D2" presStyleIdx="1" presStyleCnt="6"/>
      <dgm:spPr/>
    </dgm:pt>
    <dgm:pt modelId="{5BBFF12A-A69F-4078-A83D-A1EAB54C5269}" type="pres">
      <dgm:prSet presAssocID="{DD4B9A5E-AF0E-4E40-AE50-8ADA48B6C96E}" presName="connTx" presStyleLbl="parChTrans1D2" presStyleIdx="1" presStyleCnt="6"/>
      <dgm:spPr/>
    </dgm:pt>
    <dgm:pt modelId="{C34060C1-0884-4F60-ADDF-610222CEEF01}" type="pres">
      <dgm:prSet presAssocID="{EEA9BF43-52EA-422D-B843-A7E2D98344F1}" presName="root2" presStyleCnt="0"/>
      <dgm:spPr/>
    </dgm:pt>
    <dgm:pt modelId="{3540059A-19CD-4FBD-A598-B7A4BB9DA52D}" type="pres">
      <dgm:prSet presAssocID="{EEA9BF43-52EA-422D-B843-A7E2D98344F1}" presName="LevelTwoTextNode" presStyleLbl="node2" presStyleIdx="1" presStyleCnt="6">
        <dgm:presLayoutVars>
          <dgm:chPref val="3"/>
        </dgm:presLayoutVars>
      </dgm:prSet>
      <dgm:spPr/>
    </dgm:pt>
    <dgm:pt modelId="{5F2B1077-175E-4F04-9ED5-8097B74233FF}" type="pres">
      <dgm:prSet presAssocID="{EEA9BF43-52EA-422D-B843-A7E2D98344F1}" presName="level3hierChild" presStyleCnt="0"/>
      <dgm:spPr/>
    </dgm:pt>
    <dgm:pt modelId="{CED1A3A3-B184-469E-86AE-670623BA4E5D}" type="pres">
      <dgm:prSet presAssocID="{D3AE5FBF-22B8-495D-8175-D008E6DBE25A}" presName="conn2-1" presStyleLbl="parChTrans1D2" presStyleIdx="2" presStyleCnt="6"/>
      <dgm:spPr/>
    </dgm:pt>
    <dgm:pt modelId="{925CFC76-454F-4CEF-ADE7-B0D5EBC96571}" type="pres">
      <dgm:prSet presAssocID="{D3AE5FBF-22B8-495D-8175-D008E6DBE25A}" presName="connTx" presStyleLbl="parChTrans1D2" presStyleIdx="2" presStyleCnt="6"/>
      <dgm:spPr/>
    </dgm:pt>
    <dgm:pt modelId="{FE25D188-752C-49DB-8CF7-81DAD4AA116D}" type="pres">
      <dgm:prSet presAssocID="{05B7883E-08CA-4B11-978A-0E031766AB04}" presName="root2" presStyleCnt="0"/>
      <dgm:spPr/>
    </dgm:pt>
    <dgm:pt modelId="{E8D2105A-5421-473B-835F-F6E08D9D2D9B}" type="pres">
      <dgm:prSet presAssocID="{05B7883E-08CA-4B11-978A-0E031766AB04}" presName="LevelTwoTextNode" presStyleLbl="node2" presStyleIdx="2" presStyleCnt="6">
        <dgm:presLayoutVars>
          <dgm:chPref val="3"/>
        </dgm:presLayoutVars>
      </dgm:prSet>
      <dgm:spPr/>
    </dgm:pt>
    <dgm:pt modelId="{8A9817AD-1B7B-4DD1-A786-15A6E30FA3D8}" type="pres">
      <dgm:prSet presAssocID="{05B7883E-08CA-4B11-978A-0E031766AB04}" presName="level3hierChild" presStyleCnt="0"/>
      <dgm:spPr/>
    </dgm:pt>
    <dgm:pt modelId="{B7B8EA9D-5470-47D1-BB14-6728CBE689C1}" type="pres">
      <dgm:prSet presAssocID="{EE2F4746-1077-4656-8325-7E5840E333BC}" presName="conn2-1" presStyleLbl="parChTrans1D2" presStyleIdx="3" presStyleCnt="6"/>
      <dgm:spPr/>
    </dgm:pt>
    <dgm:pt modelId="{D3A0534F-1AC8-4151-901E-0DB7871AADA5}" type="pres">
      <dgm:prSet presAssocID="{EE2F4746-1077-4656-8325-7E5840E333BC}" presName="connTx" presStyleLbl="parChTrans1D2" presStyleIdx="3" presStyleCnt="6"/>
      <dgm:spPr/>
    </dgm:pt>
    <dgm:pt modelId="{1A60A839-2707-4E4A-89C0-39521EC09543}" type="pres">
      <dgm:prSet presAssocID="{D1EE874B-897F-475F-A919-754E5FBA9A16}" presName="root2" presStyleCnt="0"/>
      <dgm:spPr/>
    </dgm:pt>
    <dgm:pt modelId="{542E566C-E46B-4605-820D-C01641B31AD0}" type="pres">
      <dgm:prSet presAssocID="{D1EE874B-897F-475F-A919-754E5FBA9A16}" presName="LevelTwoTextNode" presStyleLbl="node2" presStyleIdx="3" presStyleCnt="6">
        <dgm:presLayoutVars>
          <dgm:chPref val="3"/>
        </dgm:presLayoutVars>
      </dgm:prSet>
      <dgm:spPr/>
    </dgm:pt>
    <dgm:pt modelId="{A7E23861-A453-40AD-82DA-15E2519DB396}" type="pres">
      <dgm:prSet presAssocID="{D1EE874B-897F-475F-A919-754E5FBA9A16}" presName="level3hierChild" presStyleCnt="0"/>
      <dgm:spPr/>
    </dgm:pt>
    <dgm:pt modelId="{074158D6-2D0C-4263-B240-7F161C0A6E35}" type="pres">
      <dgm:prSet presAssocID="{9E620EF5-4F07-4026-8291-281D809D8E50}" presName="conn2-1" presStyleLbl="parChTrans1D2" presStyleIdx="4" presStyleCnt="6"/>
      <dgm:spPr/>
    </dgm:pt>
    <dgm:pt modelId="{35294911-8ED0-481D-81F3-FEA121EBC314}" type="pres">
      <dgm:prSet presAssocID="{9E620EF5-4F07-4026-8291-281D809D8E50}" presName="connTx" presStyleLbl="parChTrans1D2" presStyleIdx="4" presStyleCnt="6"/>
      <dgm:spPr/>
    </dgm:pt>
    <dgm:pt modelId="{61EA6B80-DA4C-49FE-82C2-9FD8A4C7D9A0}" type="pres">
      <dgm:prSet presAssocID="{16B8876F-F017-420D-8B40-5D246CD58A08}" presName="root2" presStyleCnt="0"/>
      <dgm:spPr/>
    </dgm:pt>
    <dgm:pt modelId="{C329CB71-601C-4AC1-9268-C12FC228EFF5}" type="pres">
      <dgm:prSet presAssocID="{16B8876F-F017-420D-8B40-5D246CD58A08}" presName="LevelTwoTextNode" presStyleLbl="node2" presStyleIdx="4" presStyleCnt="6">
        <dgm:presLayoutVars>
          <dgm:chPref val="3"/>
        </dgm:presLayoutVars>
      </dgm:prSet>
      <dgm:spPr/>
    </dgm:pt>
    <dgm:pt modelId="{A8B79A9E-ACB0-476F-9F90-619EC7B64882}" type="pres">
      <dgm:prSet presAssocID="{16B8876F-F017-420D-8B40-5D246CD58A08}" presName="level3hierChild" presStyleCnt="0"/>
      <dgm:spPr/>
    </dgm:pt>
    <dgm:pt modelId="{95434DAE-5744-4C0B-A967-7C26BA725AEA}" type="pres">
      <dgm:prSet presAssocID="{2D64F9FD-5ECD-4124-BA69-D3DA58557225}" presName="conn2-1" presStyleLbl="parChTrans1D2" presStyleIdx="5" presStyleCnt="6"/>
      <dgm:spPr/>
    </dgm:pt>
    <dgm:pt modelId="{298917A5-149F-49B3-ABB7-C3E25B3A1732}" type="pres">
      <dgm:prSet presAssocID="{2D64F9FD-5ECD-4124-BA69-D3DA58557225}" presName="connTx" presStyleLbl="parChTrans1D2" presStyleIdx="5" presStyleCnt="6"/>
      <dgm:spPr/>
    </dgm:pt>
    <dgm:pt modelId="{9AF8EB57-5E35-4AB8-9BAA-9125B8A5F353}" type="pres">
      <dgm:prSet presAssocID="{30B42D20-7E8C-42F1-82D1-5CF12A2F8859}" presName="root2" presStyleCnt="0"/>
      <dgm:spPr/>
    </dgm:pt>
    <dgm:pt modelId="{5C061239-6B1A-4E3C-AEC0-D6B13B838054}" type="pres">
      <dgm:prSet presAssocID="{30B42D20-7E8C-42F1-82D1-5CF12A2F8859}" presName="LevelTwoTextNode" presStyleLbl="node2" presStyleIdx="5" presStyleCnt="6">
        <dgm:presLayoutVars>
          <dgm:chPref val="3"/>
        </dgm:presLayoutVars>
      </dgm:prSet>
      <dgm:spPr/>
    </dgm:pt>
    <dgm:pt modelId="{F9AB7D5D-A62A-4359-A41B-27DA3513C785}" type="pres">
      <dgm:prSet presAssocID="{30B42D20-7E8C-42F1-82D1-5CF12A2F8859}" presName="level3hierChild" presStyleCnt="0"/>
      <dgm:spPr/>
    </dgm:pt>
  </dgm:ptLst>
  <dgm:cxnLst>
    <dgm:cxn modelId="{C3E13417-1450-4A89-871A-794866366680}" type="presOf" srcId="{D3AE5FBF-22B8-495D-8175-D008E6DBE25A}" destId="{CED1A3A3-B184-469E-86AE-670623BA4E5D}" srcOrd="0" destOrd="0" presId="urn:microsoft.com/office/officeart/2008/layout/HorizontalMultiLevelHierarchy#1"/>
    <dgm:cxn modelId="{01D76F27-E2EF-4CB3-A349-B014D4B67933}" type="presOf" srcId="{9E620EF5-4F07-4026-8291-281D809D8E50}" destId="{35294911-8ED0-481D-81F3-FEA121EBC314}" srcOrd="1" destOrd="0" presId="urn:microsoft.com/office/officeart/2008/layout/HorizontalMultiLevelHierarchy#1"/>
    <dgm:cxn modelId="{4A409231-A0CA-4148-BCD1-308A23392F71}" srcId="{9CF950A0-AF63-4EEF-9FFD-96C1F7E7E392}" destId="{43C98814-3703-4708-9480-0269618948C5}" srcOrd="0" destOrd="0" parTransId="{CEE48522-27B1-4F7F-84F9-D98425D345C1}" sibTransId="{8F8E0805-276C-4375-BEB7-3681B4D5E062}"/>
    <dgm:cxn modelId="{53E9F931-D8F1-4CEA-B6A3-282E36A60F91}" srcId="{D6047DBF-95AA-40BC-A783-377E8F18B84D}" destId="{9CF950A0-AF63-4EEF-9FFD-96C1F7E7E392}" srcOrd="0" destOrd="0" parTransId="{C208B5D8-5995-4479-A42A-8A55E56C12D9}" sibTransId="{789CBC20-C209-4F6E-8277-16D1CD2BC23E}"/>
    <dgm:cxn modelId="{C2930433-44F4-427D-A0BD-687E6A836D79}" type="presOf" srcId="{CEE48522-27B1-4F7F-84F9-D98425D345C1}" destId="{64B430B3-FF1B-406C-9FF2-27BA23788747}" srcOrd="0" destOrd="0" presId="urn:microsoft.com/office/officeart/2008/layout/HorizontalMultiLevelHierarchy#1"/>
    <dgm:cxn modelId="{0E8C883A-B6FA-48C5-801E-953E14528E44}" type="presOf" srcId="{D1EE874B-897F-475F-A919-754E5FBA9A16}" destId="{542E566C-E46B-4605-820D-C01641B31AD0}" srcOrd="0" destOrd="0" presId="urn:microsoft.com/office/officeart/2008/layout/HorizontalMultiLevelHierarchy#1"/>
    <dgm:cxn modelId="{5872FC45-98DE-4D11-9E5D-E4306F4100C2}" type="presOf" srcId="{2D64F9FD-5ECD-4124-BA69-D3DA58557225}" destId="{298917A5-149F-49B3-ABB7-C3E25B3A1732}" srcOrd="1" destOrd="0" presId="urn:microsoft.com/office/officeart/2008/layout/HorizontalMultiLevelHierarchy#1"/>
    <dgm:cxn modelId="{B087EF4E-2AEC-4C89-84F1-D9FE3A7CE1AB}" type="presOf" srcId="{D3AE5FBF-22B8-495D-8175-D008E6DBE25A}" destId="{925CFC76-454F-4CEF-ADE7-B0D5EBC96571}" srcOrd="1" destOrd="0" presId="urn:microsoft.com/office/officeart/2008/layout/HorizontalMultiLevelHierarchy#1"/>
    <dgm:cxn modelId="{FD9B706F-D396-45AD-B991-E5E25643B955}" type="presOf" srcId="{30B42D20-7E8C-42F1-82D1-5CF12A2F8859}" destId="{5C061239-6B1A-4E3C-AEC0-D6B13B838054}" srcOrd="0" destOrd="0" presId="urn:microsoft.com/office/officeart/2008/layout/HorizontalMultiLevelHierarchy#1"/>
    <dgm:cxn modelId="{F15DB452-F88D-4698-8697-890C9C9C4F58}" type="presOf" srcId="{43C98814-3703-4708-9480-0269618948C5}" destId="{CDA235D6-AC41-4ED3-AF28-D9CD9EDCBAED}" srcOrd="0" destOrd="0" presId="urn:microsoft.com/office/officeart/2008/layout/HorizontalMultiLevelHierarchy#1"/>
    <dgm:cxn modelId="{474C7882-D3E6-42B8-A78C-42DD34CB9DEF}" type="presOf" srcId="{EEA9BF43-52EA-422D-B843-A7E2D98344F1}" destId="{3540059A-19CD-4FBD-A598-B7A4BB9DA52D}" srcOrd="0" destOrd="0" presId="urn:microsoft.com/office/officeart/2008/layout/HorizontalMultiLevelHierarchy#1"/>
    <dgm:cxn modelId="{8B6FDB8F-9DBF-4358-8265-C4B42086E6D8}" type="presOf" srcId="{EE2F4746-1077-4656-8325-7E5840E333BC}" destId="{D3A0534F-1AC8-4151-901E-0DB7871AADA5}" srcOrd="1" destOrd="0" presId="urn:microsoft.com/office/officeart/2008/layout/HorizontalMultiLevelHierarchy#1"/>
    <dgm:cxn modelId="{3287C1A1-FBBF-4166-A503-11A5BB2F1018}" type="presOf" srcId="{9E620EF5-4F07-4026-8291-281D809D8E50}" destId="{074158D6-2D0C-4263-B240-7F161C0A6E35}" srcOrd="0" destOrd="0" presId="urn:microsoft.com/office/officeart/2008/layout/HorizontalMultiLevelHierarchy#1"/>
    <dgm:cxn modelId="{0EF22DA5-4BE4-45B2-9250-0CD326978A20}" type="presOf" srcId="{CEE48522-27B1-4F7F-84F9-D98425D345C1}" destId="{C069D299-1B39-4BB1-9C27-833B58C46156}" srcOrd="1" destOrd="0" presId="urn:microsoft.com/office/officeart/2008/layout/HorizontalMultiLevelHierarchy#1"/>
    <dgm:cxn modelId="{C83E58A6-3F01-4D75-A111-2DB7414B61DD}" srcId="{9CF950A0-AF63-4EEF-9FFD-96C1F7E7E392}" destId="{30B42D20-7E8C-42F1-82D1-5CF12A2F8859}" srcOrd="5" destOrd="0" parTransId="{2D64F9FD-5ECD-4124-BA69-D3DA58557225}" sibTransId="{BE4DD12C-AE2C-437B-A670-D75AE0AC6439}"/>
    <dgm:cxn modelId="{8B168FA7-5AEF-46C1-A124-9CC13A9E555E}" type="presOf" srcId="{DD4B9A5E-AF0E-4E40-AE50-8ADA48B6C96E}" destId="{5BBFF12A-A69F-4078-A83D-A1EAB54C5269}" srcOrd="1" destOrd="0" presId="urn:microsoft.com/office/officeart/2008/layout/HorizontalMultiLevelHierarchy#1"/>
    <dgm:cxn modelId="{8C451EAC-83AB-46D7-8BC3-87B4CB6F4719}" srcId="{9CF950A0-AF63-4EEF-9FFD-96C1F7E7E392}" destId="{D1EE874B-897F-475F-A919-754E5FBA9A16}" srcOrd="3" destOrd="0" parTransId="{EE2F4746-1077-4656-8325-7E5840E333BC}" sibTransId="{21BC0A07-6D65-4AF2-91EC-671271F8F505}"/>
    <dgm:cxn modelId="{230904B8-3938-47AC-AD03-EC32A3F10BA5}" srcId="{9CF950A0-AF63-4EEF-9FFD-96C1F7E7E392}" destId="{16B8876F-F017-420D-8B40-5D246CD58A08}" srcOrd="4" destOrd="0" parTransId="{9E620EF5-4F07-4026-8291-281D809D8E50}" sibTransId="{B71AA37F-2F15-459F-99B4-701FE266AEB9}"/>
    <dgm:cxn modelId="{197D9BBB-C95D-4CF0-8EA1-48857256B0CA}" type="presOf" srcId="{D6047DBF-95AA-40BC-A783-377E8F18B84D}" destId="{D46EE152-774F-4CA8-9116-98CB08AEFA88}" srcOrd="0" destOrd="0" presId="urn:microsoft.com/office/officeart/2008/layout/HorizontalMultiLevelHierarchy#1"/>
    <dgm:cxn modelId="{C35827C8-6D09-4F12-985E-665334B10465}" type="presOf" srcId="{05B7883E-08CA-4B11-978A-0E031766AB04}" destId="{E8D2105A-5421-473B-835F-F6E08D9D2D9B}" srcOrd="0" destOrd="0" presId="urn:microsoft.com/office/officeart/2008/layout/HorizontalMultiLevelHierarchy#1"/>
    <dgm:cxn modelId="{151EA4C9-8A50-40B2-B080-41DCD805CB94}" type="presOf" srcId="{9CF950A0-AF63-4EEF-9FFD-96C1F7E7E392}" destId="{9B9BF0AB-5901-4E79-B4D7-EC064A6E4281}" srcOrd="0" destOrd="0" presId="urn:microsoft.com/office/officeart/2008/layout/HorizontalMultiLevelHierarchy#1"/>
    <dgm:cxn modelId="{A6B354CA-666D-4C10-8D5F-E682D3452ED8}" type="presOf" srcId="{EE2F4746-1077-4656-8325-7E5840E333BC}" destId="{B7B8EA9D-5470-47D1-BB14-6728CBE689C1}" srcOrd="0" destOrd="0" presId="urn:microsoft.com/office/officeart/2008/layout/HorizontalMultiLevelHierarchy#1"/>
    <dgm:cxn modelId="{49FB9ED1-FECC-46B6-A3B9-B76EC563C225}" srcId="{9CF950A0-AF63-4EEF-9FFD-96C1F7E7E392}" destId="{EEA9BF43-52EA-422D-B843-A7E2D98344F1}" srcOrd="1" destOrd="0" parTransId="{DD4B9A5E-AF0E-4E40-AE50-8ADA48B6C96E}" sibTransId="{35829CFD-40BE-4AAC-B481-B24731CD799F}"/>
    <dgm:cxn modelId="{56A51EE5-4F3A-414D-9C77-E9B5A8AFD6E8}" type="presOf" srcId="{2D64F9FD-5ECD-4124-BA69-D3DA58557225}" destId="{95434DAE-5744-4C0B-A967-7C26BA725AEA}" srcOrd="0" destOrd="0" presId="urn:microsoft.com/office/officeart/2008/layout/HorizontalMultiLevelHierarchy#1"/>
    <dgm:cxn modelId="{DCE78CE5-D4EB-4438-9F54-75BDB3C6940D}" type="presOf" srcId="{16B8876F-F017-420D-8B40-5D246CD58A08}" destId="{C329CB71-601C-4AC1-9268-C12FC228EFF5}" srcOrd="0" destOrd="0" presId="urn:microsoft.com/office/officeart/2008/layout/HorizontalMultiLevelHierarchy#1"/>
    <dgm:cxn modelId="{ABC6D6E9-7EDD-4D43-949C-5B0E32108EBF}" srcId="{9CF950A0-AF63-4EEF-9FFD-96C1F7E7E392}" destId="{05B7883E-08CA-4B11-978A-0E031766AB04}" srcOrd="2" destOrd="0" parTransId="{D3AE5FBF-22B8-495D-8175-D008E6DBE25A}" sibTransId="{07129F62-24FE-4443-9066-E2A8C0818369}"/>
    <dgm:cxn modelId="{1FB9BCF6-1DBB-4DFC-B229-6BA97E69F967}" type="presOf" srcId="{DD4B9A5E-AF0E-4E40-AE50-8ADA48B6C96E}" destId="{2F66960D-CF7A-443C-8CB9-E7DD0B261214}" srcOrd="0" destOrd="0" presId="urn:microsoft.com/office/officeart/2008/layout/HorizontalMultiLevelHierarchy#1"/>
    <dgm:cxn modelId="{36FB6F6F-DD49-4A93-A110-BD1A315B2C16}" type="presParOf" srcId="{D46EE152-774F-4CA8-9116-98CB08AEFA88}" destId="{D1C58439-AB41-4D73-94D5-800644F6883C}" srcOrd="0" destOrd="0" presId="urn:microsoft.com/office/officeart/2008/layout/HorizontalMultiLevelHierarchy#1"/>
    <dgm:cxn modelId="{F9807C32-4EA8-472E-ACFC-95151FE21B79}" type="presParOf" srcId="{D1C58439-AB41-4D73-94D5-800644F6883C}" destId="{9B9BF0AB-5901-4E79-B4D7-EC064A6E4281}" srcOrd="0" destOrd="0" presId="urn:microsoft.com/office/officeart/2008/layout/HorizontalMultiLevelHierarchy#1"/>
    <dgm:cxn modelId="{48D4337F-6852-4480-86FF-427C5F93E8F7}" type="presParOf" srcId="{D1C58439-AB41-4D73-94D5-800644F6883C}" destId="{A6E13702-6C97-4911-A4E2-59EE8E68C431}" srcOrd="1" destOrd="0" presId="urn:microsoft.com/office/officeart/2008/layout/HorizontalMultiLevelHierarchy#1"/>
    <dgm:cxn modelId="{E52709DE-DA4A-4C6D-928B-6DD3BE39221F}" type="presParOf" srcId="{A6E13702-6C97-4911-A4E2-59EE8E68C431}" destId="{64B430B3-FF1B-406C-9FF2-27BA23788747}" srcOrd="0" destOrd="0" presId="urn:microsoft.com/office/officeart/2008/layout/HorizontalMultiLevelHierarchy#1"/>
    <dgm:cxn modelId="{3750547D-9451-4E86-A15D-D4FE4A881031}" type="presParOf" srcId="{64B430B3-FF1B-406C-9FF2-27BA23788747}" destId="{C069D299-1B39-4BB1-9C27-833B58C46156}" srcOrd="0" destOrd="0" presId="urn:microsoft.com/office/officeart/2008/layout/HorizontalMultiLevelHierarchy#1"/>
    <dgm:cxn modelId="{1E4712B9-2365-4A38-A932-63675B00BF1E}" type="presParOf" srcId="{A6E13702-6C97-4911-A4E2-59EE8E68C431}" destId="{9C4BE19C-8DBD-46B6-9067-607184141480}" srcOrd="1" destOrd="0" presId="urn:microsoft.com/office/officeart/2008/layout/HorizontalMultiLevelHierarchy#1"/>
    <dgm:cxn modelId="{C709852C-C57E-428C-B519-7C0A536D7D62}" type="presParOf" srcId="{9C4BE19C-8DBD-46B6-9067-607184141480}" destId="{CDA235D6-AC41-4ED3-AF28-D9CD9EDCBAED}" srcOrd="0" destOrd="0" presId="urn:microsoft.com/office/officeart/2008/layout/HorizontalMultiLevelHierarchy#1"/>
    <dgm:cxn modelId="{FAB6A5F2-B4B7-4CDE-A62F-8D978A53BCD3}" type="presParOf" srcId="{9C4BE19C-8DBD-46B6-9067-607184141480}" destId="{72E265FC-36E6-4BBF-AC05-214FD6415DAB}" srcOrd="1" destOrd="0" presId="urn:microsoft.com/office/officeart/2008/layout/HorizontalMultiLevelHierarchy#1"/>
    <dgm:cxn modelId="{B94DEB9F-B5E4-4764-BCBF-07C9B0262F4E}" type="presParOf" srcId="{A6E13702-6C97-4911-A4E2-59EE8E68C431}" destId="{2F66960D-CF7A-443C-8CB9-E7DD0B261214}" srcOrd="2" destOrd="0" presId="urn:microsoft.com/office/officeart/2008/layout/HorizontalMultiLevelHierarchy#1"/>
    <dgm:cxn modelId="{50C27C20-1815-4B21-B924-49591B7A1DB4}" type="presParOf" srcId="{2F66960D-CF7A-443C-8CB9-E7DD0B261214}" destId="{5BBFF12A-A69F-4078-A83D-A1EAB54C5269}" srcOrd="0" destOrd="0" presId="urn:microsoft.com/office/officeart/2008/layout/HorizontalMultiLevelHierarchy#1"/>
    <dgm:cxn modelId="{4C6F9887-073C-4CB8-97F4-AF334437F44C}" type="presParOf" srcId="{A6E13702-6C97-4911-A4E2-59EE8E68C431}" destId="{C34060C1-0884-4F60-ADDF-610222CEEF01}" srcOrd="3" destOrd="0" presId="urn:microsoft.com/office/officeart/2008/layout/HorizontalMultiLevelHierarchy#1"/>
    <dgm:cxn modelId="{5DEA276C-ED00-4800-9EB1-FAB15DCD24C0}" type="presParOf" srcId="{C34060C1-0884-4F60-ADDF-610222CEEF01}" destId="{3540059A-19CD-4FBD-A598-B7A4BB9DA52D}" srcOrd="0" destOrd="0" presId="urn:microsoft.com/office/officeart/2008/layout/HorizontalMultiLevelHierarchy#1"/>
    <dgm:cxn modelId="{6B188079-E833-4984-9F1A-DF0411302484}" type="presParOf" srcId="{C34060C1-0884-4F60-ADDF-610222CEEF01}" destId="{5F2B1077-175E-4F04-9ED5-8097B74233FF}" srcOrd="1" destOrd="0" presId="urn:microsoft.com/office/officeart/2008/layout/HorizontalMultiLevelHierarchy#1"/>
    <dgm:cxn modelId="{2F997ACF-CCE8-4E76-9164-6AC4FCBDF0ED}" type="presParOf" srcId="{A6E13702-6C97-4911-A4E2-59EE8E68C431}" destId="{CED1A3A3-B184-469E-86AE-670623BA4E5D}" srcOrd="4" destOrd="0" presId="urn:microsoft.com/office/officeart/2008/layout/HorizontalMultiLevelHierarchy#1"/>
    <dgm:cxn modelId="{B0D0B63B-1A6E-4EF7-8259-66282F95710A}" type="presParOf" srcId="{CED1A3A3-B184-469E-86AE-670623BA4E5D}" destId="{925CFC76-454F-4CEF-ADE7-B0D5EBC96571}" srcOrd="0" destOrd="0" presId="urn:microsoft.com/office/officeart/2008/layout/HorizontalMultiLevelHierarchy#1"/>
    <dgm:cxn modelId="{9941406F-A2FC-49C7-8057-8CD6A7DF824B}" type="presParOf" srcId="{A6E13702-6C97-4911-A4E2-59EE8E68C431}" destId="{FE25D188-752C-49DB-8CF7-81DAD4AA116D}" srcOrd="5" destOrd="0" presId="urn:microsoft.com/office/officeart/2008/layout/HorizontalMultiLevelHierarchy#1"/>
    <dgm:cxn modelId="{70059354-43F1-4949-B180-BB53374F8AC3}" type="presParOf" srcId="{FE25D188-752C-49DB-8CF7-81DAD4AA116D}" destId="{E8D2105A-5421-473B-835F-F6E08D9D2D9B}" srcOrd="0" destOrd="0" presId="urn:microsoft.com/office/officeart/2008/layout/HorizontalMultiLevelHierarchy#1"/>
    <dgm:cxn modelId="{C2A74772-DF3C-4348-BA42-533577C84637}" type="presParOf" srcId="{FE25D188-752C-49DB-8CF7-81DAD4AA116D}" destId="{8A9817AD-1B7B-4DD1-A786-15A6E30FA3D8}" srcOrd="1" destOrd="0" presId="urn:microsoft.com/office/officeart/2008/layout/HorizontalMultiLevelHierarchy#1"/>
    <dgm:cxn modelId="{8ED76887-232F-4FBD-A7A4-FFBB45CC55FE}" type="presParOf" srcId="{A6E13702-6C97-4911-A4E2-59EE8E68C431}" destId="{B7B8EA9D-5470-47D1-BB14-6728CBE689C1}" srcOrd="6" destOrd="0" presId="urn:microsoft.com/office/officeart/2008/layout/HorizontalMultiLevelHierarchy#1"/>
    <dgm:cxn modelId="{C24A4515-901F-44BF-AADD-C1AF6C2813C5}" type="presParOf" srcId="{B7B8EA9D-5470-47D1-BB14-6728CBE689C1}" destId="{D3A0534F-1AC8-4151-901E-0DB7871AADA5}" srcOrd="0" destOrd="0" presId="urn:microsoft.com/office/officeart/2008/layout/HorizontalMultiLevelHierarchy#1"/>
    <dgm:cxn modelId="{92DC7B2A-69CE-4875-897A-70408756042A}" type="presParOf" srcId="{A6E13702-6C97-4911-A4E2-59EE8E68C431}" destId="{1A60A839-2707-4E4A-89C0-39521EC09543}" srcOrd="7" destOrd="0" presId="urn:microsoft.com/office/officeart/2008/layout/HorizontalMultiLevelHierarchy#1"/>
    <dgm:cxn modelId="{A021BE8C-F030-4FFD-9F96-D2B750C3A735}" type="presParOf" srcId="{1A60A839-2707-4E4A-89C0-39521EC09543}" destId="{542E566C-E46B-4605-820D-C01641B31AD0}" srcOrd="0" destOrd="0" presId="urn:microsoft.com/office/officeart/2008/layout/HorizontalMultiLevelHierarchy#1"/>
    <dgm:cxn modelId="{06710550-A67D-4A0A-8EEF-45BB5C3734F8}" type="presParOf" srcId="{1A60A839-2707-4E4A-89C0-39521EC09543}" destId="{A7E23861-A453-40AD-82DA-15E2519DB396}" srcOrd="1" destOrd="0" presId="urn:microsoft.com/office/officeart/2008/layout/HorizontalMultiLevelHierarchy#1"/>
    <dgm:cxn modelId="{ED3E8894-125B-47CE-9127-ACB1AFF3F7B3}" type="presParOf" srcId="{A6E13702-6C97-4911-A4E2-59EE8E68C431}" destId="{074158D6-2D0C-4263-B240-7F161C0A6E35}" srcOrd="8" destOrd="0" presId="urn:microsoft.com/office/officeart/2008/layout/HorizontalMultiLevelHierarchy#1"/>
    <dgm:cxn modelId="{5B4DF8CB-889B-4032-85A7-CCEF025E2265}" type="presParOf" srcId="{074158D6-2D0C-4263-B240-7F161C0A6E35}" destId="{35294911-8ED0-481D-81F3-FEA121EBC314}" srcOrd="0" destOrd="0" presId="urn:microsoft.com/office/officeart/2008/layout/HorizontalMultiLevelHierarchy#1"/>
    <dgm:cxn modelId="{DCF15711-9A89-4416-BAA6-9E5A75518F5A}" type="presParOf" srcId="{A6E13702-6C97-4911-A4E2-59EE8E68C431}" destId="{61EA6B80-DA4C-49FE-82C2-9FD8A4C7D9A0}" srcOrd="9" destOrd="0" presId="urn:microsoft.com/office/officeart/2008/layout/HorizontalMultiLevelHierarchy#1"/>
    <dgm:cxn modelId="{30B6D17C-39A4-4609-9A8F-2AABD25CF79D}" type="presParOf" srcId="{61EA6B80-DA4C-49FE-82C2-9FD8A4C7D9A0}" destId="{C329CB71-601C-4AC1-9268-C12FC228EFF5}" srcOrd="0" destOrd="0" presId="urn:microsoft.com/office/officeart/2008/layout/HorizontalMultiLevelHierarchy#1"/>
    <dgm:cxn modelId="{D8B7C047-09BF-4C0F-826B-DE79EA323077}" type="presParOf" srcId="{61EA6B80-DA4C-49FE-82C2-9FD8A4C7D9A0}" destId="{A8B79A9E-ACB0-476F-9F90-619EC7B64882}" srcOrd="1" destOrd="0" presId="urn:microsoft.com/office/officeart/2008/layout/HorizontalMultiLevelHierarchy#1"/>
    <dgm:cxn modelId="{3A83C1C2-725C-44B6-9F24-10744AED4F57}" type="presParOf" srcId="{A6E13702-6C97-4911-A4E2-59EE8E68C431}" destId="{95434DAE-5744-4C0B-A967-7C26BA725AEA}" srcOrd="10" destOrd="0" presId="urn:microsoft.com/office/officeart/2008/layout/HorizontalMultiLevelHierarchy#1"/>
    <dgm:cxn modelId="{8DACB385-6100-44DE-9232-4013B19BE705}" type="presParOf" srcId="{95434DAE-5744-4C0B-A967-7C26BA725AEA}" destId="{298917A5-149F-49B3-ABB7-C3E25B3A1732}" srcOrd="0" destOrd="0" presId="urn:microsoft.com/office/officeart/2008/layout/HorizontalMultiLevelHierarchy#1"/>
    <dgm:cxn modelId="{CE612FB9-8934-4C7F-9E09-F3308A521381}" type="presParOf" srcId="{A6E13702-6C97-4911-A4E2-59EE8E68C431}" destId="{9AF8EB57-5E35-4AB8-9BAA-9125B8A5F353}" srcOrd="11" destOrd="0" presId="urn:microsoft.com/office/officeart/2008/layout/HorizontalMultiLevelHierarchy#1"/>
    <dgm:cxn modelId="{CD7D9988-C6EE-4376-89CA-70357FBB4B00}" type="presParOf" srcId="{9AF8EB57-5E35-4AB8-9BAA-9125B8A5F353}" destId="{5C061239-6B1A-4E3C-AEC0-D6B13B838054}" srcOrd="0" destOrd="0" presId="urn:microsoft.com/office/officeart/2008/layout/HorizontalMultiLevelHierarchy#1"/>
    <dgm:cxn modelId="{0F4EC17F-720C-494B-9984-1991FD128265}" type="presParOf" srcId="{9AF8EB57-5E35-4AB8-9BAA-9125B8A5F353}" destId="{F9AB7D5D-A62A-4359-A41B-27DA3513C785}" srcOrd="1" destOrd="0" presId="urn:microsoft.com/office/officeart/2008/layout/HorizontalMultiLevel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434DAE-5744-4C0B-A967-7C26BA725AEA}">
      <dsp:nvSpPr>
        <dsp:cNvPr id="0" name=""/>
        <dsp:cNvSpPr/>
      </dsp:nvSpPr>
      <dsp:spPr>
        <a:xfrm>
          <a:off x="1143357" y="2539047"/>
          <a:ext cx="459247" cy="2187727"/>
        </a:xfrm>
        <a:custGeom>
          <a:avLst/>
          <a:gdLst/>
          <a:ahLst/>
          <a:cxnLst/>
          <a:rect l="0" t="0" r="0" b="0"/>
          <a:pathLst>
            <a:path>
              <a:moveTo>
                <a:pt x="0" y="0"/>
              </a:moveTo>
              <a:lnTo>
                <a:pt x="229623" y="0"/>
              </a:lnTo>
              <a:lnTo>
                <a:pt x="229623" y="2187727"/>
              </a:lnTo>
              <a:lnTo>
                <a:pt x="459247" y="218772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ru-UA" sz="800" kern="1200"/>
        </a:p>
      </dsp:txBody>
      <dsp:txXfrm>
        <a:off x="1317096" y="3577026"/>
        <a:ext cx="111770" cy="111770"/>
      </dsp:txXfrm>
    </dsp:sp>
    <dsp:sp modelId="{074158D6-2D0C-4263-B240-7F161C0A6E35}">
      <dsp:nvSpPr>
        <dsp:cNvPr id="0" name=""/>
        <dsp:cNvSpPr/>
      </dsp:nvSpPr>
      <dsp:spPr>
        <a:xfrm>
          <a:off x="1143357" y="2539047"/>
          <a:ext cx="459247" cy="1312636"/>
        </a:xfrm>
        <a:custGeom>
          <a:avLst/>
          <a:gdLst/>
          <a:ahLst/>
          <a:cxnLst/>
          <a:rect l="0" t="0" r="0" b="0"/>
          <a:pathLst>
            <a:path>
              <a:moveTo>
                <a:pt x="0" y="0"/>
              </a:moveTo>
              <a:lnTo>
                <a:pt x="229623" y="0"/>
              </a:lnTo>
              <a:lnTo>
                <a:pt x="229623" y="1312636"/>
              </a:lnTo>
              <a:lnTo>
                <a:pt x="459247" y="1312636"/>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UA" sz="500" kern="1200"/>
        </a:p>
      </dsp:txBody>
      <dsp:txXfrm>
        <a:off x="1338215" y="3160599"/>
        <a:ext cx="69532" cy="69532"/>
      </dsp:txXfrm>
    </dsp:sp>
    <dsp:sp modelId="{B7B8EA9D-5470-47D1-BB14-6728CBE689C1}">
      <dsp:nvSpPr>
        <dsp:cNvPr id="0" name=""/>
        <dsp:cNvSpPr/>
      </dsp:nvSpPr>
      <dsp:spPr>
        <a:xfrm>
          <a:off x="1143357" y="2539047"/>
          <a:ext cx="459247" cy="437545"/>
        </a:xfrm>
        <a:custGeom>
          <a:avLst/>
          <a:gdLst/>
          <a:ahLst/>
          <a:cxnLst/>
          <a:rect l="0" t="0" r="0" b="0"/>
          <a:pathLst>
            <a:path>
              <a:moveTo>
                <a:pt x="0" y="0"/>
              </a:moveTo>
              <a:lnTo>
                <a:pt x="229623" y="0"/>
              </a:lnTo>
              <a:lnTo>
                <a:pt x="229623" y="437545"/>
              </a:lnTo>
              <a:lnTo>
                <a:pt x="459247" y="43754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UA" sz="500" kern="1200"/>
        </a:p>
      </dsp:txBody>
      <dsp:txXfrm>
        <a:off x="1357124" y="2741962"/>
        <a:ext cx="31715" cy="31715"/>
      </dsp:txXfrm>
    </dsp:sp>
    <dsp:sp modelId="{CED1A3A3-B184-469E-86AE-670623BA4E5D}">
      <dsp:nvSpPr>
        <dsp:cNvPr id="0" name=""/>
        <dsp:cNvSpPr/>
      </dsp:nvSpPr>
      <dsp:spPr>
        <a:xfrm>
          <a:off x="1143357" y="2101501"/>
          <a:ext cx="459247" cy="437545"/>
        </a:xfrm>
        <a:custGeom>
          <a:avLst/>
          <a:gdLst/>
          <a:ahLst/>
          <a:cxnLst/>
          <a:rect l="0" t="0" r="0" b="0"/>
          <a:pathLst>
            <a:path>
              <a:moveTo>
                <a:pt x="0" y="437545"/>
              </a:moveTo>
              <a:lnTo>
                <a:pt x="229623" y="437545"/>
              </a:lnTo>
              <a:lnTo>
                <a:pt x="229623" y="0"/>
              </a:lnTo>
              <a:lnTo>
                <a:pt x="459247"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1357124" y="2304416"/>
        <a:ext cx="31715" cy="31715"/>
      </dsp:txXfrm>
    </dsp:sp>
    <dsp:sp modelId="{2F66960D-CF7A-443C-8CB9-E7DD0B261214}">
      <dsp:nvSpPr>
        <dsp:cNvPr id="0" name=""/>
        <dsp:cNvSpPr/>
      </dsp:nvSpPr>
      <dsp:spPr>
        <a:xfrm>
          <a:off x="1143357" y="1226410"/>
          <a:ext cx="459247" cy="1312636"/>
        </a:xfrm>
        <a:custGeom>
          <a:avLst/>
          <a:gdLst/>
          <a:ahLst/>
          <a:cxnLst/>
          <a:rect l="0" t="0" r="0" b="0"/>
          <a:pathLst>
            <a:path>
              <a:moveTo>
                <a:pt x="0" y="1312636"/>
              </a:moveTo>
              <a:lnTo>
                <a:pt x="229623" y="1312636"/>
              </a:lnTo>
              <a:lnTo>
                <a:pt x="229623" y="0"/>
              </a:lnTo>
              <a:lnTo>
                <a:pt x="459247"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zh-CN" altLang="en-US" sz="500" kern="1200"/>
        </a:p>
      </dsp:txBody>
      <dsp:txXfrm>
        <a:off x="1338215" y="1847962"/>
        <a:ext cx="69532" cy="69532"/>
      </dsp:txXfrm>
    </dsp:sp>
    <dsp:sp modelId="{64B430B3-FF1B-406C-9FF2-27BA23788747}">
      <dsp:nvSpPr>
        <dsp:cNvPr id="0" name=""/>
        <dsp:cNvSpPr/>
      </dsp:nvSpPr>
      <dsp:spPr>
        <a:xfrm>
          <a:off x="1143357" y="351319"/>
          <a:ext cx="459247" cy="2187727"/>
        </a:xfrm>
        <a:custGeom>
          <a:avLst/>
          <a:gdLst/>
          <a:ahLst/>
          <a:cxnLst/>
          <a:rect l="0" t="0" r="0" b="0"/>
          <a:pathLst>
            <a:path>
              <a:moveTo>
                <a:pt x="0" y="2187727"/>
              </a:moveTo>
              <a:lnTo>
                <a:pt x="229623" y="2187727"/>
              </a:lnTo>
              <a:lnTo>
                <a:pt x="229623" y="0"/>
              </a:lnTo>
              <a:lnTo>
                <a:pt x="459247"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zh-CN" altLang="en-US" sz="800" kern="1200"/>
        </a:p>
      </dsp:txBody>
      <dsp:txXfrm>
        <a:off x="1317096" y="1389298"/>
        <a:ext cx="111770" cy="111770"/>
      </dsp:txXfrm>
    </dsp:sp>
    <dsp:sp modelId="{9B9BF0AB-5901-4E79-B4D7-EC064A6E4281}">
      <dsp:nvSpPr>
        <dsp:cNvPr id="0" name=""/>
        <dsp:cNvSpPr/>
      </dsp:nvSpPr>
      <dsp:spPr>
        <a:xfrm rot="16200000">
          <a:off x="-1048975" y="2189011"/>
          <a:ext cx="3684594" cy="70007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a:lnSpc>
              <a:spcPct val="100000"/>
            </a:lnSpc>
            <a:spcBef>
              <a:spcPct val="0"/>
            </a:spcBef>
            <a:spcAft>
              <a:spcPct val="35000"/>
            </a:spcAft>
            <a:buNone/>
          </a:pPr>
          <a:r>
            <a:rPr lang="en-US" altLang="en-US" sz="2100" kern="1200"/>
            <a:t>                 ПРОБЛЕМИ ТРАНСКОРДОННОЇ ОВД</a:t>
          </a:r>
        </a:p>
      </dsp:txBody>
      <dsp:txXfrm>
        <a:off x="-1048975" y="2189011"/>
        <a:ext cx="3684594" cy="700072"/>
      </dsp:txXfrm>
    </dsp:sp>
    <dsp:sp modelId="{CDA235D6-AC41-4ED3-AF28-D9CD9EDCBAED}">
      <dsp:nvSpPr>
        <dsp:cNvPr id="0" name=""/>
        <dsp:cNvSpPr/>
      </dsp:nvSpPr>
      <dsp:spPr>
        <a:xfrm>
          <a:off x="1602605" y="1283"/>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Правові     </a:t>
          </a:r>
        </a:p>
        <a:p>
          <a:pPr marL="0" lvl="0" indent="0" algn="ctr" defTabSz="355600">
            <a:lnSpc>
              <a:spcPct val="100000"/>
            </a:lnSpc>
            <a:spcBef>
              <a:spcPct val="0"/>
            </a:spcBef>
            <a:spcAft>
              <a:spcPct val="35000"/>
            </a:spcAft>
            <a:buNone/>
          </a:pPr>
          <a:r>
            <a:rPr lang="en-US" altLang="en-US" sz="800" kern="1200"/>
            <a:t>- нечіткість процедур</a:t>
          </a:r>
        </a:p>
        <a:p>
          <a:pPr marL="0" lvl="0" indent="0" algn="ctr" defTabSz="355600">
            <a:lnSpc>
              <a:spcPct val="100000"/>
            </a:lnSpc>
            <a:spcBef>
              <a:spcPct val="0"/>
            </a:spcBef>
            <a:spcAft>
              <a:spcPct val="35000"/>
            </a:spcAft>
            <a:buNone/>
          </a:pPr>
          <a:r>
            <a:rPr lang="en-US" altLang="en-US" sz="800" kern="1200"/>
            <a:t>- складність норм</a:t>
          </a:r>
        </a:p>
        <a:p>
          <a:pPr marL="0" lvl="0" indent="0" algn="ctr" defTabSz="355600">
            <a:lnSpc>
              <a:spcPct val="100000"/>
            </a:lnSpc>
            <a:spcBef>
              <a:spcPct val="0"/>
            </a:spcBef>
            <a:spcAft>
              <a:spcPct val="35000"/>
            </a:spcAft>
            <a:buNone/>
          </a:pPr>
          <a:r>
            <a:rPr lang="en-US" altLang="en-US" sz="800" kern="1200">
              <a:sym typeface="+mn-ea"/>
            </a:rPr>
            <a:t>- різні тлумачення </a:t>
          </a:r>
          <a:endParaRPr lang="en-US" altLang="en-US" sz="800" kern="1200"/>
        </a:p>
      </dsp:txBody>
      <dsp:txXfrm>
        <a:off x="1602605" y="1283"/>
        <a:ext cx="2296239" cy="700072"/>
      </dsp:txXfrm>
    </dsp:sp>
    <dsp:sp modelId="{3540059A-19CD-4FBD-A598-B7A4BB9DA52D}">
      <dsp:nvSpPr>
        <dsp:cNvPr id="0" name=""/>
        <dsp:cNvSpPr/>
      </dsp:nvSpPr>
      <dsp:spPr>
        <a:xfrm>
          <a:off x="1602605" y="876374"/>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 Інституційні </a:t>
          </a:r>
        </a:p>
        <a:p>
          <a:pPr marL="0" lvl="0" indent="0" algn="ctr" defTabSz="355600">
            <a:lnSpc>
              <a:spcPct val="100000"/>
            </a:lnSpc>
            <a:spcBef>
              <a:spcPct val="0"/>
            </a:spcBef>
            <a:spcAft>
              <a:spcPct val="35000"/>
            </a:spcAft>
            <a:buNone/>
          </a:pPr>
          <a:r>
            <a:rPr lang="en-US" altLang="en-US" sz="800" kern="1200"/>
            <a:t>- багато органів  </a:t>
          </a:r>
        </a:p>
        <a:p>
          <a:pPr marL="0" lvl="0" indent="0" algn="ctr" defTabSz="355600">
            <a:lnSpc>
              <a:spcPct val="100000"/>
            </a:lnSpc>
            <a:spcBef>
              <a:spcPct val="0"/>
            </a:spcBef>
            <a:spcAft>
              <a:spcPct val="35000"/>
            </a:spcAft>
            <a:buNone/>
          </a:pPr>
          <a:r>
            <a:rPr lang="en-US" altLang="en-US" sz="800" kern="1200"/>
            <a:t> - дублювання функцій</a:t>
          </a:r>
        </a:p>
        <a:p>
          <a:pPr marL="0" lvl="0" indent="0" algn="ctr" defTabSz="355600">
            <a:lnSpc>
              <a:spcPct val="100000"/>
            </a:lnSpc>
            <a:spcBef>
              <a:spcPct val="0"/>
            </a:spcBef>
            <a:spcAft>
              <a:spcPct val="35000"/>
            </a:spcAft>
            <a:buNone/>
          </a:pPr>
          <a:r>
            <a:rPr lang="en-US" altLang="en-US" sz="800" kern="1200"/>
            <a:t>- затримки взаємодії</a:t>
          </a:r>
        </a:p>
      </dsp:txBody>
      <dsp:txXfrm>
        <a:off x="1602605" y="876374"/>
        <a:ext cx="2296239" cy="700072"/>
      </dsp:txXfrm>
    </dsp:sp>
    <dsp:sp modelId="{E8D2105A-5421-473B-835F-F6E08D9D2D9B}">
      <dsp:nvSpPr>
        <dsp:cNvPr id="0" name=""/>
        <dsp:cNvSpPr/>
      </dsp:nvSpPr>
      <dsp:spPr>
        <a:xfrm>
          <a:off x="1602605" y="1751465"/>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 Інформаційні</a:t>
          </a:r>
        </a:p>
        <a:p>
          <a:pPr marL="0" lvl="0" indent="0" algn="ctr" defTabSz="355600">
            <a:lnSpc>
              <a:spcPct val="100000"/>
            </a:lnSpc>
            <a:spcBef>
              <a:spcPct val="0"/>
            </a:spcBef>
            <a:spcAft>
              <a:spcPct val="35000"/>
            </a:spcAft>
            <a:buNone/>
          </a:pPr>
          <a:r>
            <a:rPr lang="en-US" altLang="en-US" sz="800" kern="1200"/>
            <a:t>  - недостатній доступ до інформації</a:t>
          </a:r>
        </a:p>
        <a:p>
          <a:pPr marL="0" lvl="0" indent="0" algn="ctr" defTabSz="355600">
            <a:lnSpc>
              <a:spcPct val="100000"/>
            </a:lnSpc>
            <a:spcBef>
              <a:spcPct val="0"/>
            </a:spcBef>
            <a:spcAft>
              <a:spcPct val="35000"/>
            </a:spcAft>
            <a:buNone/>
          </a:pPr>
          <a:r>
            <a:rPr lang="en-US" altLang="en-US" sz="800" kern="1200"/>
            <a:t>- мовні бар’єри</a:t>
          </a:r>
        </a:p>
      </dsp:txBody>
      <dsp:txXfrm>
        <a:off x="1602605" y="1751465"/>
        <a:ext cx="2296239" cy="700072"/>
      </dsp:txXfrm>
    </dsp:sp>
    <dsp:sp modelId="{542E566C-E46B-4605-820D-C01641B31AD0}">
      <dsp:nvSpPr>
        <dsp:cNvPr id="0" name=""/>
        <dsp:cNvSpPr/>
      </dsp:nvSpPr>
      <dsp:spPr>
        <a:xfrm>
          <a:off x="1602605" y="2626556"/>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Кадрові</a:t>
          </a:r>
        </a:p>
        <a:p>
          <a:pPr marL="0" lvl="0" indent="0" algn="ctr" defTabSz="355600">
            <a:lnSpc>
              <a:spcPct val="100000"/>
            </a:lnSpc>
            <a:spcBef>
              <a:spcPct val="0"/>
            </a:spcBef>
            <a:spcAft>
              <a:spcPct val="35000"/>
            </a:spcAft>
            <a:buNone/>
          </a:pPr>
          <a:r>
            <a:rPr lang="en-US" altLang="en-US" sz="800" kern="1200"/>
            <a:t>- нестача фахівців</a:t>
          </a:r>
        </a:p>
        <a:p>
          <a:pPr marL="0" lvl="0" indent="0" algn="ctr" defTabSz="355600">
            <a:lnSpc>
              <a:spcPct val="100000"/>
            </a:lnSpc>
            <a:spcBef>
              <a:spcPct val="0"/>
            </a:spcBef>
            <a:spcAft>
              <a:spcPct val="35000"/>
            </a:spcAft>
            <a:buNone/>
          </a:pPr>
          <a:r>
            <a:rPr lang="en-US" altLang="en-US" sz="800" kern="1200"/>
            <a:t>- недостатня підготовка</a:t>
          </a:r>
        </a:p>
        <a:p>
          <a:pPr marL="0" lvl="0" indent="0" algn="ctr" defTabSz="355600">
            <a:lnSpc>
              <a:spcPct val="100000"/>
            </a:lnSpc>
            <a:spcBef>
              <a:spcPct val="0"/>
            </a:spcBef>
            <a:spcAft>
              <a:spcPct val="35000"/>
            </a:spcAft>
            <a:buNone/>
          </a:pPr>
          <a:r>
            <a:rPr lang="en-US" altLang="en-US" sz="800" kern="1200"/>
            <a:t>- відсутність досвіду</a:t>
          </a:r>
        </a:p>
      </dsp:txBody>
      <dsp:txXfrm>
        <a:off x="1602605" y="2626556"/>
        <a:ext cx="2296239" cy="700072"/>
      </dsp:txXfrm>
    </dsp:sp>
    <dsp:sp modelId="{C329CB71-601C-4AC1-9268-C12FC228EFF5}">
      <dsp:nvSpPr>
        <dsp:cNvPr id="0" name=""/>
        <dsp:cNvSpPr/>
      </dsp:nvSpPr>
      <dsp:spPr>
        <a:xfrm>
          <a:off x="1602605" y="3501647"/>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Практичні </a:t>
          </a:r>
        </a:p>
        <a:p>
          <a:pPr marL="0" lvl="0" indent="0" algn="ctr" defTabSz="355600">
            <a:lnSpc>
              <a:spcPct val="100000"/>
            </a:lnSpc>
            <a:spcBef>
              <a:spcPct val="0"/>
            </a:spcBef>
            <a:spcAft>
              <a:spcPct val="35000"/>
            </a:spcAft>
            <a:buNone/>
          </a:pPr>
          <a:r>
            <a:rPr lang="en-US" altLang="en-US" sz="800" kern="1200"/>
            <a:t> - низька якість звітів </a:t>
          </a:r>
        </a:p>
        <a:p>
          <a:pPr marL="0" lvl="0" indent="0" algn="ctr" defTabSz="355600">
            <a:lnSpc>
              <a:spcPct val="100000"/>
            </a:lnSpc>
            <a:spcBef>
              <a:spcPct val="0"/>
            </a:spcBef>
            <a:spcAft>
              <a:spcPct val="35000"/>
            </a:spcAft>
            <a:buNone/>
          </a:pPr>
          <a:r>
            <a:rPr lang="en-US" altLang="en-US" sz="800" kern="1200"/>
            <a:t>- формальний підхід</a:t>
          </a:r>
        </a:p>
        <a:p>
          <a:pPr marL="0" lvl="0" indent="0" algn="ctr" defTabSz="355600">
            <a:lnSpc>
              <a:spcPct val="100000"/>
            </a:lnSpc>
            <a:spcBef>
              <a:spcPct val="0"/>
            </a:spcBef>
            <a:spcAft>
              <a:spcPct val="35000"/>
            </a:spcAft>
            <a:buNone/>
          </a:pPr>
          <a:r>
            <a:rPr lang="en-US" altLang="en-US" sz="800" kern="1200"/>
            <a:t>- слабка участь </a:t>
          </a:r>
          <a:r>
            <a:rPr lang="uk-UA" altLang="en-US" sz="800" kern="1200"/>
            <a:t>громадськості</a:t>
          </a:r>
          <a:r>
            <a:rPr lang="en-US" altLang="en-US" sz="800" kern="1200"/>
            <a:t> </a:t>
          </a:r>
          <a:endParaRPr altLang="en-US" sz="800" kern="1200"/>
        </a:p>
      </dsp:txBody>
      <dsp:txXfrm>
        <a:off x="1602605" y="3501647"/>
        <a:ext cx="2296239" cy="700072"/>
      </dsp:txXfrm>
    </dsp:sp>
    <dsp:sp modelId="{5C061239-6B1A-4E3C-AEC0-D6B13B838054}">
      <dsp:nvSpPr>
        <dsp:cNvPr id="0" name=""/>
        <dsp:cNvSpPr/>
      </dsp:nvSpPr>
      <dsp:spPr>
        <a:xfrm>
          <a:off x="1602605" y="4376738"/>
          <a:ext cx="2296239" cy="70007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100000"/>
            </a:lnSpc>
            <a:spcBef>
              <a:spcPct val="0"/>
            </a:spcBef>
            <a:spcAft>
              <a:spcPct val="35000"/>
            </a:spcAft>
            <a:buNone/>
          </a:pPr>
          <a:r>
            <a:rPr lang="en-US" altLang="en-US" sz="800" kern="1200"/>
            <a:t> Технічні</a:t>
          </a:r>
        </a:p>
        <a:p>
          <a:pPr marL="0" lvl="0" indent="0" algn="ctr" defTabSz="355600">
            <a:lnSpc>
              <a:spcPct val="100000"/>
            </a:lnSpc>
            <a:spcBef>
              <a:spcPct val="0"/>
            </a:spcBef>
            <a:spcAft>
              <a:spcPct val="35000"/>
            </a:spcAft>
            <a:buNone/>
          </a:pPr>
          <a:r>
            <a:rPr lang="en-US" altLang="en-US" sz="800" kern="1200"/>
            <a:t>- обмежене використання </a:t>
          </a:r>
          <a:r>
            <a:rPr lang="uk-UA" altLang="en-US" sz="800" kern="1200"/>
            <a:t>електронних систем</a:t>
          </a:r>
        </a:p>
        <a:p>
          <a:pPr marL="0" lvl="0" indent="0" algn="ctr" defTabSz="355600">
            <a:lnSpc>
              <a:spcPct val="100000"/>
            </a:lnSpc>
            <a:spcBef>
              <a:spcPct val="0"/>
            </a:spcBef>
            <a:spcAft>
              <a:spcPct val="35000"/>
            </a:spcAft>
            <a:buNone/>
          </a:pPr>
          <a:r>
            <a:rPr lang="en-US" altLang="en-US" sz="800" kern="1200"/>
            <a:t> - паперові дублювання</a:t>
          </a:r>
        </a:p>
      </dsp:txBody>
      <dsp:txXfrm>
        <a:off x="1602605" y="4376738"/>
        <a:ext cx="2296239" cy="700072"/>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1">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rSet qsTypeId="urn:microsoft.com/office/officeart/2005/8/quickstyle/simple5"/>
        </dgm:pt>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rSet csTypeId="urn:microsoft.com/office/officeart/2005/8/colors/accent6_5"/>
        </dgm:pt>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endSty" val="noArr"/>
                        <dgm:param type="connRout" val="bend"/>
                        <dgm:param type="begPts" val="midR"/>
                        <dgm:param type="endPts" val="midL"/>
                      </dgm:alg>
                    </dgm:if>
                    <dgm:else name="Name18">
                      <dgm:alg type="conn">
                        <dgm:param type="dim" val="1D"/>
                        <dgm:param type="endSty" val="noArr"/>
                        <dgm:param type="connRout" val="bend"/>
                        <dgm:param type="begPts" val="midL"/>
                        <dgm:param type="endPts" val="midR"/>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6">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66448</Words>
  <Characters>37876</Characters>
  <Application>Microsoft Office Word</Application>
  <DocSecurity>0</DocSecurity>
  <Lines>315</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Сірик</dc:creator>
  <cp:lastModifiedBy>Ярослав</cp:lastModifiedBy>
  <cp:revision>13</cp:revision>
  <dcterms:created xsi:type="dcterms:W3CDTF">2026-06-19T16:06:00Z</dcterms:created>
  <dcterms:modified xsi:type="dcterms:W3CDTF">2026-07-03T08:14:00Z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1049-12.1.0.26880</vt:lpwstr>
  </property>
  <property fmtid="{D5CDD505-2E9C-101B-9397-08002B2CF9AE}" pid="3" name="ICV">
    <vt:lpwstr>660780947F5141A3B91EE11B7D371313_11</vt:lpwstr>
  </property>
  <property fmtid="{D5CDD505-2E9C-101B-9397-08002B2CF9AE}" pid="4" name="KSOTemplateDocerSaveRecord">
    <vt:lpwstr>eyJoZGlkIjoiMDc4ZjE0ZmNiYmM5MDkwMzE5Yjc1NzY5NWNiNTQwZTYiLCJ1c2VySWQiOiIyOTA0MDg3NDgyNjIxIn0=</vt:lpwstr>
  </property>
</Properties>
</file>